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4DD8" w14:textId="6CEBDC2A" w:rsidR="00152C1B" w:rsidRPr="0048336E" w:rsidRDefault="00EB67F0" w:rsidP="00EB67F0">
      <w:pPr>
        <w:jc w:val="center"/>
        <w:rPr>
          <w:color w:val="79BA2A"/>
          <w:sz w:val="24"/>
          <w:szCs w:val="24"/>
        </w:rPr>
      </w:pPr>
      <w:r w:rsidRPr="0048336E">
        <w:rPr>
          <w:color w:val="79BA2A"/>
          <w:sz w:val="24"/>
          <w:szCs w:val="24"/>
        </w:rPr>
        <w:softHyphen/>
      </w:r>
      <w:r w:rsidR="00235C8B" w:rsidRPr="0048336E">
        <w:rPr>
          <w:color w:val="79BA2A"/>
          <w:sz w:val="24"/>
          <w:szCs w:val="24"/>
        </w:rPr>
        <w:softHyphen/>
      </w:r>
    </w:p>
    <w:p w14:paraId="7193D631" w14:textId="77777777" w:rsidR="007C3121" w:rsidRDefault="00FD54C6" w:rsidP="007C3121">
      <w:pPr>
        <w:spacing w:after="360" w:line="240" w:lineRule="auto"/>
        <w:jc w:val="center"/>
        <w:rPr>
          <w:rFonts w:eastAsiaTheme="majorEastAsia" w:cstheme="majorBidi"/>
          <w:b/>
          <w:iCs/>
          <w:color w:val="FFFFFF" w:themeColor="background1"/>
          <w:sz w:val="72"/>
          <w:szCs w:val="72"/>
        </w:rPr>
      </w:pPr>
      <w:r>
        <w:rPr>
          <w:rFonts w:eastAsiaTheme="majorEastAsia" w:cstheme="majorBidi"/>
          <w:b/>
          <w:iCs/>
          <w:color w:val="FFFFFF" w:themeColor="background1"/>
          <w:sz w:val="72"/>
          <w:szCs w:val="72"/>
        </w:rPr>
        <w:br/>
      </w:r>
      <w:r w:rsidR="007C3121">
        <w:rPr>
          <w:rFonts w:eastAsiaTheme="majorEastAsia" w:cstheme="majorBidi"/>
          <w:b/>
          <w:iCs/>
          <w:color w:val="FFFFFF" w:themeColor="background1"/>
          <w:sz w:val="72"/>
          <w:szCs w:val="72"/>
        </w:rPr>
        <w:t>Food Waste for Healthy Soils</w:t>
      </w:r>
    </w:p>
    <w:p w14:paraId="4F8D0D3C" w14:textId="77777777" w:rsidR="007C3121" w:rsidRPr="007E1842" w:rsidRDefault="007C3121" w:rsidP="007C3121">
      <w:pPr>
        <w:spacing w:after="360" w:line="240" w:lineRule="auto"/>
        <w:jc w:val="center"/>
        <w:rPr>
          <w:rFonts w:eastAsiaTheme="majorEastAsia" w:cstheme="majorBidi"/>
          <w:b/>
          <w:iCs/>
          <w:color w:val="FFFFFF" w:themeColor="background1"/>
          <w:sz w:val="64"/>
          <w:szCs w:val="64"/>
        </w:rPr>
      </w:pPr>
      <w:r>
        <w:rPr>
          <w:rFonts w:eastAsiaTheme="majorEastAsia" w:cstheme="majorBidi"/>
          <w:b/>
          <w:iCs/>
          <w:color w:val="FFFFFF" w:themeColor="background1"/>
          <w:sz w:val="72"/>
          <w:szCs w:val="72"/>
        </w:rPr>
        <w:br/>
      </w:r>
      <w:r w:rsidRPr="007E1842">
        <w:rPr>
          <w:rFonts w:eastAsiaTheme="majorEastAsia" w:cstheme="majorBidi"/>
          <w:b/>
          <w:iCs/>
          <w:color w:val="FFFFFF" w:themeColor="background1"/>
          <w:sz w:val="64"/>
          <w:szCs w:val="64"/>
        </w:rPr>
        <w:t>Recycling Infrastructure Grants</w:t>
      </w:r>
    </w:p>
    <w:p w14:paraId="2986C13E" w14:textId="0AB58AA0" w:rsidR="00FD54C6" w:rsidRDefault="00FD54C6" w:rsidP="007C3121">
      <w:pPr>
        <w:spacing w:after="360" w:line="240" w:lineRule="auto"/>
        <w:jc w:val="center"/>
        <w:rPr>
          <w:rFonts w:eastAsiaTheme="majorEastAsia" w:cstheme="majorBidi"/>
          <w:b/>
          <w:iCs/>
          <w:color w:val="FFFFFF" w:themeColor="background1"/>
          <w:sz w:val="72"/>
          <w:szCs w:val="72"/>
        </w:rPr>
      </w:pPr>
    </w:p>
    <w:p w14:paraId="17901E1D" w14:textId="77777777" w:rsidR="00FD54C6" w:rsidRPr="00FD54C6" w:rsidRDefault="00FD54C6" w:rsidP="00FD54C6">
      <w:pPr>
        <w:spacing w:after="360" w:line="240" w:lineRule="auto"/>
        <w:jc w:val="center"/>
        <w:rPr>
          <w:rFonts w:eastAsiaTheme="majorEastAsia" w:cstheme="majorBidi"/>
          <w:b/>
          <w:iCs/>
          <w:color w:val="FFFFFF" w:themeColor="background1"/>
          <w:sz w:val="72"/>
          <w:szCs w:val="72"/>
        </w:rPr>
      </w:pPr>
    </w:p>
    <w:p w14:paraId="695638EE" w14:textId="74F24243" w:rsidR="00402B2A" w:rsidRPr="00064973" w:rsidRDefault="00FD54C6" w:rsidP="00EB67F0">
      <w:pPr>
        <w:spacing w:before="360" w:after="360" w:line="240" w:lineRule="auto"/>
        <w:jc w:val="center"/>
        <w:rPr>
          <w:rFonts w:cstheme="minorHAnsi"/>
          <w:b/>
          <w:i/>
          <w:color w:val="FFFFFF" w:themeColor="background1"/>
          <w:sz w:val="96"/>
          <w:szCs w:val="120"/>
        </w:rPr>
      </w:pPr>
      <w:r w:rsidRPr="00064973">
        <w:rPr>
          <w:rFonts w:cstheme="minorHAnsi"/>
          <w:b/>
          <w:i/>
          <w:color w:val="FFFFFF" w:themeColor="background1"/>
          <w:sz w:val="96"/>
          <w:szCs w:val="120"/>
        </w:rPr>
        <w:t>Guideline</w:t>
      </w:r>
      <w:r w:rsidR="007E1842" w:rsidRPr="00064973">
        <w:rPr>
          <w:rFonts w:cstheme="minorHAnsi"/>
          <w:b/>
          <w:i/>
          <w:color w:val="FFFFFF" w:themeColor="background1"/>
          <w:sz w:val="96"/>
          <w:szCs w:val="120"/>
        </w:rPr>
        <w:t>s</w:t>
      </w:r>
    </w:p>
    <w:p w14:paraId="6DD1F354" w14:textId="77777777" w:rsidR="00064973" w:rsidRDefault="00064973" w:rsidP="00EB67F0">
      <w:pPr>
        <w:spacing w:before="360" w:after="360" w:line="240" w:lineRule="auto"/>
        <w:jc w:val="center"/>
        <w:rPr>
          <w:rFonts w:cstheme="minorHAnsi"/>
          <w:i/>
          <w:color w:val="FFFFFF" w:themeColor="background1"/>
          <w:sz w:val="52"/>
          <w:szCs w:val="120"/>
        </w:rPr>
      </w:pPr>
    </w:p>
    <w:p w14:paraId="4903AF26" w14:textId="20EAE14C" w:rsidR="00EB67F0" w:rsidRPr="007E1842" w:rsidRDefault="007E1842" w:rsidP="00EB67F0">
      <w:pPr>
        <w:spacing w:before="360" w:after="360" w:line="240" w:lineRule="auto"/>
        <w:jc w:val="center"/>
        <w:rPr>
          <w:rFonts w:cstheme="minorHAnsi"/>
          <w:i/>
          <w:color w:val="FFFFFF" w:themeColor="background1"/>
          <w:sz w:val="52"/>
          <w:szCs w:val="120"/>
        </w:rPr>
      </w:pPr>
      <w:r w:rsidRPr="007E1842">
        <w:rPr>
          <w:rFonts w:cstheme="minorHAnsi"/>
          <w:i/>
          <w:color w:val="FFFFFF" w:themeColor="background1"/>
          <w:sz w:val="52"/>
          <w:szCs w:val="120"/>
        </w:rPr>
        <w:t>November 2021</w:t>
      </w:r>
    </w:p>
    <w:p w14:paraId="588326DD" w14:textId="77777777" w:rsidR="00C726C1" w:rsidRPr="00FB169C" w:rsidRDefault="00C726C1" w:rsidP="00EB67F0">
      <w:pPr>
        <w:pStyle w:val="Footer"/>
        <w:jc w:val="center"/>
        <w:rPr>
          <w:i/>
          <w:color w:val="FFFFFF" w:themeColor="background1"/>
        </w:rPr>
      </w:pPr>
    </w:p>
    <w:p w14:paraId="079D603A" w14:textId="77777777" w:rsidR="00C17E03" w:rsidRPr="00FB169C" w:rsidRDefault="00C17E03" w:rsidP="00EB67F0">
      <w:pPr>
        <w:pStyle w:val="Footer"/>
        <w:jc w:val="center"/>
        <w:rPr>
          <w:i/>
          <w:color w:val="FFFFFF" w:themeColor="background1"/>
        </w:rPr>
      </w:pPr>
    </w:p>
    <w:p w14:paraId="1DBF4FC3" w14:textId="77777777" w:rsidR="00064973" w:rsidRDefault="00064973" w:rsidP="00EB67F0">
      <w:pPr>
        <w:pStyle w:val="ListParagraph"/>
        <w:ind w:left="0"/>
        <w:jc w:val="center"/>
        <w:rPr>
          <w:color w:val="FFFFFF" w:themeColor="background1"/>
        </w:rPr>
        <w:sectPr w:rsidR="00064973" w:rsidSect="00402B2A">
          <w:footerReference w:type="default" r:id="rId8"/>
          <w:headerReference w:type="first" r:id="rId9"/>
          <w:pgSz w:w="11907" w:h="16839" w:code="9"/>
          <w:pgMar w:top="1134" w:right="1418" w:bottom="851" w:left="1418" w:header="709" w:footer="283" w:gutter="0"/>
          <w:pgNumType w:start="0"/>
          <w:cols w:space="708"/>
          <w:titlePg/>
          <w:docGrid w:linePitch="360"/>
        </w:sectPr>
      </w:pPr>
    </w:p>
    <w:p w14:paraId="3BC4BE1C" w14:textId="77777777" w:rsidR="00DB4499" w:rsidRDefault="00DB4499" w:rsidP="00064973">
      <w:pPr>
        <w:pStyle w:val="Heading1"/>
        <w:rPr>
          <w:rFonts w:ascii="Arial" w:hAnsi="Arial" w:cs="Arial"/>
          <w:b/>
          <w:sz w:val="40"/>
          <w:szCs w:val="40"/>
        </w:rPr>
      </w:pPr>
      <w:bookmarkStart w:id="0" w:name="_Hlk36454818"/>
      <w:r w:rsidRPr="00DB4499">
        <w:rPr>
          <w:rFonts w:ascii="Arial" w:hAnsi="Arial" w:cs="Arial"/>
          <w:b/>
          <w:sz w:val="40"/>
          <w:szCs w:val="40"/>
        </w:rPr>
        <w:lastRenderedPageBreak/>
        <w:t>Recycling Infrastructure Grants – Food Waste for Healthy Soils</w:t>
      </w:r>
    </w:p>
    <w:p w14:paraId="4F63BCE9" w14:textId="05BE1337" w:rsidR="00064973" w:rsidRPr="00DB4499" w:rsidRDefault="00064973" w:rsidP="00064973">
      <w:pPr>
        <w:pStyle w:val="Heading1"/>
        <w:rPr>
          <w:rFonts w:ascii="Arial" w:hAnsi="Arial" w:cs="Arial"/>
          <w:b/>
          <w:sz w:val="40"/>
          <w:szCs w:val="40"/>
        </w:rPr>
      </w:pPr>
      <w:r w:rsidRPr="00DB4499">
        <w:rPr>
          <w:rFonts w:ascii="Arial" w:hAnsi="Arial" w:cs="Arial"/>
          <w:b/>
          <w:sz w:val="40"/>
          <w:szCs w:val="40"/>
        </w:rPr>
        <w:t>Guidelines for Commonwealth co-investment</w:t>
      </w:r>
    </w:p>
    <w:p w14:paraId="40532504" w14:textId="77777777" w:rsidR="00064973" w:rsidRPr="00DB4499" w:rsidRDefault="00064973" w:rsidP="00064973">
      <w:pPr>
        <w:pStyle w:val="Heading1"/>
        <w:rPr>
          <w:rFonts w:ascii="Arial" w:hAnsi="Arial" w:cs="Arial"/>
          <w:sz w:val="32"/>
        </w:rPr>
      </w:pPr>
      <w:r w:rsidRPr="00DB4499">
        <w:rPr>
          <w:rFonts w:ascii="Arial" w:hAnsi="Arial" w:cs="Arial"/>
          <w:sz w:val="32"/>
        </w:rPr>
        <w:t>Introduction</w:t>
      </w:r>
    </w:p>
    <w:p w14:paraId="76CED136" w14:textId="0CA03C27" w:rsidR="00F4329A" w:rsidRPr="0016553F" w:rsidRDefault="00F4329A" w:rsidP="00F4329A">
      <w:pPr>
        <w:rPr>
          <w:rFonts w:ascii="Arial" w:hAnsi="Arial" w:cs="Arial"/>
        </w:rPr>
      </w:pPr>
      <w:r w:rsidRPr="0016553F">
        <w:rPr>
          <w:rFonts w:ascii="Arial" w:hAnsi="Arial" w:cs="Arial"/>
        </w:rPr>
        <w:t>On 11 May 2021, as part of the National Soils Strategy, the Australian Government announced a $67 million Food Waste for Healthy Soils Fund program in the Federal Budget.</w:t>
      </w:r>
    </w:p>
    <w:p w14:paraId="4F6BAE83" w14:textId="77777777" w:rsidR="00624691" w:rsidRDefault="00F4329A" w:rsidP="00F4329A">
      <w:pPr>
        <w:rPr>
          <w:rFonts w:ascii="Arial" w:hAnsi="Arial" w:cs="Arial"/>
        </w:rPr>
      </w:pPr>
      <w:r w:rsidRPr="0016553F">
        <w:rPr>
          <w:rFonts w:ascii="Arial" w:hAnsi="Arial" w:cs="Arial"/>
        </w:rPr>
        <w:t xml:space="preserve">The Fund aims to support the diversion of nutrient-rich household and commercial organic waste from landfill to soils, with a $57 million investment to build new or enhance existing organic waste processing infrastructure to improve product quality or increase capacity. </w:t>
      </w:r>
    </w:p>
    <w:p w14:paraId="73507019" w14:textId="5F13DC71" w:rsidR="00624691" w:rsidRDefault="00624691" w:rsidP="00F4329A">
      <w:pPr>
        <w:rPr>
          <w:rFonts w:ascii="Arial" w:hAnsi="Arial" w:cs="Arial"/>
        </w:rPr>
      </w:pPr>
      <w:r w:rsidRPr="00624691">
        <w:rPr>
          <w:rFonts w:ascii="Arial" w:hAnsi="Arial" w:cs="Arial"/>
        </w:rPr>
        <w:t xml:space="preserve">Together with co-contributions from participating state and territory governments and industry, the </w:t>
      </w:r>
      <w:r>
        <w:rPr>
          <w:rFonts w:ascii="Arial" w:hAnsi="Arial" w:cs="Arial"/>
        </w:rPr>
        <w:t xml:space="preserve">Food Waste for Healthy Soils </w:t>
      </w:r>
      <w:r w:rsidRPr="00624691">
        <w:rPr>
          <w:rFonts w:ascii="Arial" w:hAnsi="Arial" w:cs="Arial"/>
        </w:rPr>
        <w:t xml:space="preserve">Fund will leverage over $170 million of investment to build new and improve existing organic waste recycling infrastructure to divert organic waste into nutrient rich compost and soil enhancers. </w:t>
      </w:r>
    </w:p>
    <w:p w14:paraId="773D06EA" w14:textId="7112A4FD" w:rsidR="00F4329A" w:rsidRPr="0016553F" w:rsidRDefault="00F4329A" w:rsidP="00F4329A">
      <w:pPr>
        <w:rPr>
          <w:rFonts w:ascii="Arial" w:hAnsi="Arial" w:cs="Arial"/>
        </w:rPr>
      </w:pPr>
      <w:r w:rsidRPr="0016553F">
        <w:rPr>
          <w:rFonts w:ascii="Arial" w:hAnsi="Arial" w:cs="Arial"/>
        </w:rPr>
        <w:t>The remaining $10 million will be dispersed through separate mechanisms to fund the supporting elements including:</w:t>
      </w:r>
    </w:p>
    <w:p w14:paraId="7B3F3A69" w14:textId="22B3318E" w:rsidR="00F4329A" w:rsidRPr="0016553F" w:rsidRDefault="00F4329A" w:rsidP="00624691">
      <w:pPr>
        <w:pStyle w:val="ListParagraph"/>
        <w:numPr>
          <w:ilvl w:val="0"/>
          <w:numId w:val="41"/>
        </w:numPr>
        <w:rPr>
          <w:rFonts w:ascii="Arial" w:hAnsi="Arial" w:cs="Arial"/>
        </w:rPr>
      </w:pPr>
      <w:r w:rsidRPr="0016553F">
        <w:rPr>
          <w:rFonts w:ascii="Arial" w:hAnsi="Arial" w:cs="Arial"/>
        </w:rPr>
        <w:t>updating Australia’s compost standards (AS4454-2012: Composts, soil conditioners and mulches) to ensure the compost products are fit for purpose, with amendments informed by the Review of Regulations and Standards for Recycling Organics in Australia</w:t>
      </w:r>
    </w:p>
    <w:p w14:paraId="43B0D4A4" w14:textId="2C1F06B4" w:rsidR="00F4329A" w:rsidRPr="0016553F" w:rsidRDefault="00F4329A" w:rsidP="00624691">
      <w:pPr>
        <w:pStyle w:val="ListParagraph"/>
        <w:numPr>
          <w:ilvl w:val="0"/>
          <w:numId w:val="41"/>
        </w:numPr>
        <w:rPr>
          <w:rFonts w:ascii="Arial" w:hAnsi="Arial" w:cs="Arial"/>
        </w:rPr>
      </w:pPr>
      <w:r w:rsidRPr="0016553F">
        <w:rPr>
          <w:rFonts w:ascii="Arial" w:hAnsi="Arial" w:cs="Arial"/>
        </w:rPr>
        <w:t>undertaking community and industry education initiatives to reduce contamination in municipal and commercial organic waste streams, and</w:t>
      </w:r>
    </w:p>
    <w:p w14:paraId="7A306C2C" w14:textId="02B45614" w:rsidR="00F4329A" w:rsidRPr="0016553F" w:rsidRDefault="00F4329A" w:rsidP="00624691">
      <w:pPr>
        <w:pStyle w:val="ListParagraph"/>
        <w:numPr>
          <w:ilvl w:val="0"/>
          <w:numId w:val="41"/>
        </w:numPr>
        <w:rPr>
          <w:rFonts w:ascii="Arial" w:hAnsi="Arial" w:cs="Arial"/>
        </w:rPr>
      </w:pPr>
      <w:r w:rsidRPr="0016553F">
        <w:rPr>
          <w:rFonts w:ascii="Arial" w:hAnsi="Arial" w:cs="Arial"/>
        </w:rPr>
        <w:t xml:space="preserve">stimulating end-market demand, especially within the agriculture sector. </w:t>
      </w:r>
    </w:p>
    <w:p w14:paraId="156D2B0A" w14:textId="329934CD" w:rsidR="00064973" w:rsidRDefault="00F4329A" w:rsidP="00F4329A">
      <w:pPr>
        <w:rPr>
          <w:rFonts w:ascii="Arial" w:hAnsi="Arial" w:cs="Arial"/>
        </w:rPr>
      </w:pPr>
      <w:r w:rsidRPr="0016553F">
        <w:rPr>
          <w:rFonts w:ascii="Arial" w:hAnsi="Arial" w:cs="Arial"/>
        </w:rPr>
        <w:t xml:space="preserve">Funding is over a </w:t>
      </w:r>
      <w:proofErr w:type="gramStart"/>
      <w:r w:rsidRPr="0016553F">
        <w:rPr>
          <w:rFonts w:ascii="Arial" w:hAnsi="Arial" w:cs="Arial"/>
        </w:rPr>
        <w:t>four year</w:t>
      </w:r>
      <w:proofErr w:type="gramEnd"/>
      <w:r w:rsidRPr="0016553F">
        <w:rPr>
          <w:rFonts w:ascii="Arial" w:hAnsi="Arial" w:cs="Arial"/>
        </w:rPr>
        <w:t xml:space="preserve"> period commencing in 2021-22 and concluding in 2024-25.</w:t>
      </w:r>
    </w:p>
    <w:p w14:paraId="6FB65E69" w14:textId="04E08543" w:rsidR="00BF0538" w:rsidRPr="00D874B3" w:rsidRDefault="0016553F" w:rsidP="00F4329A">
      <w:pPr>
        <w:rPr>
          <w:rFonts w:ascii="Arial" w:hAnsi="Arial" w:cs="Arial"/>
        </w:rPr>
      </w:pPr>
      <w:r>
        <w:rPr>
          <w:rFonts w:ascii="Arial" w:hAnsi="Arial" w:cs="Arial"/>
        </w:rPr>
        <w:t>The South Australian g</w:t>
      </w:r>
      <w:r w:rsidR="00BF0538">
        <w:rPr>
          <w:rFonts w:ascii="Arial" w:hAnsi="Arial" w:cs="Arial"/>
        </w:rPr>
        <w:t>overnment is participating in the Food Waste for Healthy Soils Fund through Green Industries SA.</w:t>
      </w:r>
    </w:p>
    <w:p w14:paraId="7B07CB31" w14:textId="77777777" w:rsidR="007C3121" w:rsidRPr="00DB4499" w:rsidRDefault="007C3121" w:rsidP="007C3121">
      <w:pPr>
        <w:pStyle w:val="Heading1"/>
        <w:rPr>
          <w:b/>
          <w:sz w:val="36"/>
          <w:szCs w:val="36"/>
        </w:rPr>
      </w:pPr>
      <w:bookmarkStart w:id="1" w:name="_Toc87366098"/>
      <w:r w:rsidRPr="00DB4499">
        <w:rPr>
          <w:b/>
          <w:sz w:val="36"/>
          <w:szCs w:val="36"/>
        </w:rPr>
        <w:t>About Green Industries SA</w:t>
      </w:r>
      <w:bookmarkEnd w:id="1"/>
    </w:p>
    <w:p w14:paraId="750B053E" w14:textId="77777777" w:rsidR="007C3121" w:rsidRPr="00DB4499" w:rsidRDefault="007C3121" w:rsidP="007C3121">
      <w:pPr>
        <w:spacing w:before="240"/>
        <w:jc w:val="both"/>
        <w:rPr>
          <w:rFonts w:ascii="Arial" w:hAnsi="Arial" w:cs="Arial"/>
        </w:rPr>
      </w:pPr>
      <w:r w:rsidRPr="00DB4499">
        <w:rPr>
          <w:rFonts w:ascii="Arial" w:hAnsi="Arial" w:cs="Arial"/>
        </w:rPr>
        <w:t xml:space="preserve">Green Industries SA is an enabler and driver of change, supporting the development of the circular economy through diverse collaborations which improve productivity, resilience, resource efficiency and the environment. It aims to transform how South Australians use and value resources. Its objectives under the </w:t>
      </w:r>
      <w:r w:rsidRPr="00DB4499">
        <w:rPr>
          <w:rFonts w:ascii="Arial" w:hAnsi="Arial" w:cs="Arial"/>
          <w:i/>
        </w:rPr>
        <w:t>Green Industries SA Act 2004</w:t>
      </w:r>
      <w:r w:rsidRPr="00DB4499">
        <w:rPr>
          <w:rFonts w:ascii="Arial" w:hAnsi="Arial" w:cs="Arial"/>
        </w:rPr>
        <w:t xml:space="preserve"> are to:</w:t>
      </w:r>
    </w:p>
    <w:p w14:paraId="42D511D6" w14:textId="77777777" w:rsidR="007C3121" w:rsidRPr="00DB4499" w:rsidRDefault="007C3121" w:rsidP="00624691">
      <w:pPr>
        <w:pStyle w:val="ListParagraph"/>
        <w:numPr>
          <w:ilvl w:val="0"/>
          <w:numId w:val="41"/>
        </w:numPr>
        <w:rPr>
          <w:rFonts w:ascii="Arial" w:hAnsi="Arial" w:cs="Arial"/>
        </w:rPr>
      </w:pPr>
      <w:r w:rsidRPr="00DB4499">
        <w:rPr>
          <w:rFonts w:ascii="Arial" w:hAnsi="Arial" w:cs="Arial"/>
        </w:rPr>
        <w:t>promote waste management practices that, as far as possible, eliminate waste or its consignment to landfill; and</w:t>
      </w:r>
    </w:p>
    <w:p w14:paraId="031A1164" w14:textId="77777777" w:rsidR="007C3121" w:rsidRPr="00DB4499" w:rsidRDefault="007C3121" w:rsidP="00624691">
      <w:pPr>
        <w:pStyle w:val="ListParagraph"/>
        <w:numPr>
          <w:ilvl w:val="0"/>
          <w:numId w:val="41"/>
        </w:numPr>
        <w:rPr>
          <w:rFonts w:ascii="Arial" w:hAnsi="Arial" w:cs="Arial"/>
        </w:rPr>
      </w:pPr>
      <w:r w:rsidRPr="00DB4499">
        <w:rPr>
          <w:rFonts w:ascii="Arial" w:hAnsi="Arial" w:cs="Arial"/>
        </w:rPr>
        <w:t>promote innovation and business activity in the waste management, resource recovery and green industry sectors, recognising these areas present valuable opportunities to contribute to the state’s economic growth.</w:t>
      </w:r>
    </w:p>
    <w:p w14:paraId="1A19EA38" w14:textId="77777777" w:rsidR="007C3121" w:rsidRDefault="007C3121" w:rsidP="007C3121">
      <w:pPr>
        <w:spacing w:before="240"/>
        <w:rPr>
          <w:rFonts w:ascii="Arial" w:hAnsi="Arial" w:cs="Arial"/>
          <w:u w:val="single"/>
        </w:rPr>
      </w:pPr>
      <w:r w:rsidRPr="00DB4499">
        <w:rPr>
          <w:rFonts w:ascii="Arial" w:hAnsi="Arial" w:cs="Arial"/>
        </w:rPr>
        <w:t xml:space="preserve">For more information visit </w:t>
      </w:r>
      <w:hyperlink r:id="rId10" w:history="1">
        <w:r w:rsidRPr="00DB4499">
          <w:rPr>
            <w:rStyle w:val="Hyperlink"/>
            <w:rFonts w:ascii="Arial" w:hAnsi="Arial" w:cs="Arial"/>
          </w:rPr>
          <w:t>www.greenindustries.sa.gov.au</w:t>
        </w:r>
      </w:hyperlink>
      <w:r w:rsidRPr="00DB4499">
        <w:rPr>
          <w:rFonts w:ascii="Arial" w:hAnsi="Arial" w:cs="Arial"/>
          <w:u w:val="single"/>
        </w:rPr>
        <w:t>.</w:t>
      </w:r>
    </w:p>
    <w:p w14:paraId="51E23103" w14:textId="77777777" w:rsidR="00624691" w:rsidRPr="00DB4499" w:rsidRDefault="00624691" w:rsidP="007C3121">
      <w:pPr>
        <w:spacing w:before="240"/>
        <w:rPr>
          <w:rFonts w:ascii="Arial" w:hAnsi="Arial" w:cs="Arial"/>
          <w:u w:val="single"/>
        </w:rPr>
      </w:pPr>
    </w:p>
    <w:p w14:paraId="6F3B255C" w14:textId="67F3CCB1" w:rsidR="007C3121" w:rsidRPr="007C3121" w:rsidRDefault="007C3121" w:rsidP="007C3121">
      <w:pPr>
        <w:spacing w:after="0"/>
        <w:rPr>
          <w:highlight w:val="green"/>
          <w:u w:val="single"/>
        </w:rPr>
      </w:pPr>
    </w:p>
    <w:p w14:paraId="4B15220C" w14:textId="2699BB35" w:rsidR="007C3121" w:rsidRPr="0058113B" w:rsidRDefault="007C3121" w:rsidP="007C3121">
      <w:pPr>
        <w:pStyle w:val="Heading1"/>
        <w:rPr>
          <w:b/>
          <w:i/>
          <w:sz w:val="36"/>
          <w:szCs w:val="36"/>
        </w:rPr>
      </w:pPr>
      <w:bookmarkStart w:id="2" w:name="_Toc26868509"/>
      <w:bookmarkStart w:id="3" w:name="_Toc87366099"/>
      <w:r w:rsidRPr="0058113B">
        <w:rPr>
          <w:b/>
          <w:i/>
          <w:sz w:val="36"/>
          <w:szCs w:val="36"/>
        </w:rPr>
        <w:lastRenderedPageBreak/>
        <w:t>South Australia’s Waste Strategy</w:t>
      </w:r>
      <w:bookmarkEnd w:id="2"/>
      <w:bookmarkEnd w:id="3"/>
      <w:r w:rsidR="0016553F" w:rsidRPr="0058113B">
        <w:rPr>
          <w:b/>
          <w:i/>
          <w:sz w:val="36"/>
          <w:szCs w:val="36"/>
        </w:rPr>
        <w:t xml:space="preserve"> 2020-2025</w:t>
      </w:r>
    </w:p>
    <w:p w14:paraId="04C8084B" w14:textId="26FBAF05" w:rsidR="007C3121" w:rsidRPr="0058113B" w:rsidRDefault="007C3121" w:rsidP="007C3121">
      <w:pPr>
        <w:spacing w:before="240"/>
        <w:jc w:val="both"/>
        <w:rPr>
          <w:rFonts w:ascii="Arial" w:hAnsi="Arial" w:cs="Arial"/>
        </w:rPr>
      </w:pPr>
      <w:r w:rsidRPr="0058113B">
        <w:rPr>
          <w:rFonts w:ascii="Arial" w:hAnsi="Arial" w:cs="Arial"/>
        </w:rPr>
        <w:t xml:space="preserve">Initiatives funded through the program will support </w:t>
      </w:r>
      <w:hyperlink r:id="rId11" w:history="1">
        <w:r w:rsidRPr="0058113B">
          <w:rPr>
            <w:rStyle w:val="Hyperlink"/>
            <w:rFonts w:ascii="Arial" w:hAnsi="Arial" w:cs="Arial"/>
            <w:i/>
          </w:rPr>
          <w:t>South Australia’s Waste Strategy 2020-2025</w:t>
        </w:r>
      </w:hyperlink>
      <w:r w:rsidRPr="0058113B">
        <w:rPr>
          <w:rFonts w:ascii="Arial" w:hAnsi="Arial" w:cs="Arial"/>
        </w:rPr>
        <w:t xml:space="preserve"> which outlines actions that can contribute to the development of a circular economy in South Australia through:</w:t>
      </w:r>
    </w:p>
    <w:p w14:paraId="08F2E83C" w14:textId="77777777" w:rsidR="007C3121" w:rsidRPr="0058113B" w:rsidRDefault="007C3121" w:rsidP="007C3121">
      <w:pPr>
        <w:numPr>
          <w:ilvl w:val="0"/>
          <w:numId w:val="9"/>
        </w:numPr>
        <w:spacing w:after="0" w:line="340" w:lineRule="atLeast"/>
        <w:jc w:val="both"/>
        <w:rPr>
          <w:rFonts w:ascii="Arial" w:hAnsi="Arial" w:cs="Arial"/>
          <w:bCs/>
        </w:rPr>
      </w:pPr>
      <w:r w:rsidRPr="0058113B">
        <w:rPr>
          <w:rFonts w:ascii="Arial" w:hAnsi="Arial" w:cs="Arial"/>
          <w:bCs/>
        </w:rPr>
        <w:t>a clearly articulated policy and legislative framework that gives a solid platform for investment decisions and a stable and efficient market</w:t>
      </w:r>
    </w:p>
    <w:p w14:paraId="69C4081B" w14:textId="77777777" w:rsidR="007C3121" w:rsidRPr="0058113B" w:rsidRDefault="007C3121" w:rsidP="007C3121">
      <w:pPr>
        <w:numPr>
          <w:ilvl w:val="0"/>
          <w:numId w:val="9"/>
        </w:numPr>
        <w:spacing w:after="0" w:line="340" w:lineRule="atLeast"/>
        <w:jc w:val="both"/>
        <w:rPr>
          <w:rFonts w:ascii="Arial" w:hAnsi="Arial" w:cs="Arial"/>
          <w:bCs/>
        </w:rPr>
      </w:pPr>
      <w:r w:rsidRPr="0058113B">
        <w:rPr>
          <w:rFonts w:ascii="Arial" w:hAnsi="Arial" w:cs="Arial"/>
          <w:bCs/>
        </w:rPr>
        <w:t>supporting innovation and commercialisation</w:t>
      </w:r>
    </w:p>
    <w:p w14:paraId="2077EA7F" w14:textId="77777777" w:rsidR="007C3121" w:rsidRPr="0058113B" w:rsidRDefault="007C3121" w:rsidP="007C3121">
      <w:pPr>
        <w:numPr>
          <w:ilvl w:val="0"/>
          <w:numId w:val="9"/>
        </w:numPr>
        <w:spacing w:after="0" w:line="340" w:lineRule="atLeast"/>
        <w:jc w:val="both"/>
        <w:rPr>
          <w:rFonts w:ascii="Arial" w:hAnsi="Arial" w:cs="Arial"/>
          <w:bCs/>
        </w:rPr>
      </w:pPr>
      <w:r w:rsidRPr="0058113B">
        <w:rPr>
          <w:rFonts w:ascii="Arial" w:hAnsi="Arial" w:cs="Arial"/>
          <w:bCs/>
        </w:rPr>
        <w:t xml:space="preserve">education, </w:t>
      </w:r>
      <w:proofErr w:type="gramStart"/>
      <w:r w:rsidRPr="0058113B">
        <w:rPr>
          <w:rFonts w:ascii="Arial" w:hAnsi="Arial" w:cs="Arial"/>
          <w:bCs/>
        </w:rPr>
        <w:t>advocacy</w:t>
      </w:r>
      <w:proofErr w:type="gramEnd"/>
      <w:r w:rsidRPr="0058113B">
        <w:rPr>
          <w:rFonts w:ascii="Arial" w:hAnsi="Arial" w:cs="Arial"/>
          <w:bCs/>
        </w:rPr>
        <w:t xml:space="preserve"> and awareness to support behavioural change in the way waste and resources are managed </w:t>
      </w:r>
    </w:p>
    <w:p w14:paraId="336BD930" w14:textId="77777777" w:rsidR="007C3121" w:rsidRPr="0058113B" w:rsidRDefault="007C3121" w:rsidP="007C3121">
      <w:pPr>
        <w:numPr>
          <w:ilvl w:val="0"/>
          <w:numId w:val="9"/>
        </w:numPr>
        <w:spacing w:after="240" w:line="340" w:lineRule="atLeast"/>
        <w:ind w:left="357" w:hanging="357"/>
        <w:jc w:val="both"/>
        <w:rPr>
          <w:rFonts w:ascii="Arial" w:hAnsi="Arial" w:cs="Arial"/>
          <w:bCs/>
        </w:rPr>
      </w:pPr>
      <w:r w:rsidRPr="0058113B">
        <w:rPr>
          <w:rFonts w:ascii="Arial" w:hAnsi="Arial" w:cs="Arial"/>
          <w:bCs/>
        </w:rPr>
        <w:t xml:space="preserve">applying the waste management hierarchy consistently with the principles of ecologically sustainable development. </w:t>
      </w:r>
    </w:p>
    <w:p w14:paraId="56D2E3B0" w14:textId="7375B32C" w:rsidR="0058113B" w:rsidRDefault="0058113B" w:rsidP="0058113B">
      <w:pPr>
        <w:spacing w:after="240" w:line="22" w:lineRule="atLeast"/>
        <w:jc w:val="both"/>
        <w:rPr>
          <w:rFonts w:ascii="Arial" w:hAnsi="Arial" w:cs="Arial"/>
          <w:bCs/>
        </w:rPr>
      </w:pPr>
      <w:r w:rsidRPr="0058113B">
        <w:rPr>
          <w:rFonts w:ascii="Arial" w:hAnsi="Arial" w:cs="Arial"/>
          <w:bCs/>
        </w:rPr>
        <w:t xml:space="preserve">South Australia’s specific food waste strategy, </w:t>
      </w:r>
      <w:hyperlink r:id="rId12" w:history="1">
        <w:r w:rsidRPr="0058113B">
          <w:rPr>
            <w:rStyle w:val="Hyperlink"/>
            <w:rFonts w:ascii="Arial" w:hAnsi="Arial" w:cs="Arial"/>
            <w:bCs/>
            <w:i/>
          </w:rPr>
          <w:t>Valuing our Food Waste: South Australia’s strategy to reduce and divert household and business food waste</w:t>
        </w:r>
        <w:r w:rsidRPr="0058113B">
          <w:rPr>
            <w:rStyle w:val="Hyperlink"/>
            <w:rFonts w:ascii="Arial" w:hAnsi="Arial" w:cs="Arial"/>
            <w:bCs/>
          </w:rPr>
          <w:t xml:space="preserve"> </w:t>
        </w:r>
      </w:hyperlink>
      <w:r w:rsidRPr="0058113B">
        <w:rPr>
          <w:rFonts w:ascii="Arial" w:hAnsi="Arial" w:cs="Arial"/>
          <w:bCs/>
        </w:rPr>
        <w:t xml:space="preserve"> i</w:t>
      </w:r>
      <w:r w:rsidRPr="0058113B">
        <w:rPr>
          <w:rFonts w:ascii="Arial" w:hAnsi="Arial" w:cs="Arial"/>
        </w:rPr>
        <w:t>ntegrates policy measures, behavioural change actions and support for industry and local government to increase the recovery of food waste for higher value uses within the biological circular economy.</w:t>
      </w:r>
    </w:p>
    <w:p w14:paraId="0290BCFF" w14:textId="77777777" w:rsidR="0058113B" w:rsidRPr="0058113B" w:rsidRDefault="0058113B" w:rsidP="0058113B"/>
    <w:p w14:paraId="3094B81E" w14:textId="4E8B8B69" w:rsidR="00064973" w:rsidRPr="00A6390D" w:rsidRDefault="00064973" w:rsidP="00064973">
      <w:pPr>
        <w:pStyle w:val="Heading1"/>
        <w:rPr>
          <w:rFonts w:ascii="Arial" w:hAnsi="Arial" w:cs="Arial"/>
          <w:sz w:val="32"/>
        </w:rPr>
      </w:pPr>
      <w:r w:rsidRPr="00A6390D">
        <w:rPr>
          <w:rFonts w:ascii="Arial" w:hAnsi="Arial" w:cs="Arial"/>
          <w:sz w:val="32"/>
        </w:rPr>
        <w:t xml:space="preserve">Application process </w:t>
      </w:r>
    </w:p>
    <w:tbl>
      <w:tblPr>
        <w:tblStyle w:val="TableGrid"/>
        <w:tblW w:w="5000" w:type="pct"/>
        <w:tblLook w:val="04A0" w:firstRow="1" w:lastRow="0" w:firstColumn="1" w:lastColumn="0" w:noHBand="0" w:noVBand="1"/>
      </w:tblPr>
      <w:tblGrid>
        <w:gridCol w:w="2267"/>
        <w:gridCol w:w="6803"/>
      </w:tblGrid>
      <w:tr w:rsidR="00064973" w:rsidRPr="00D46C96" w14:paraId="0425FE60" w14:textId="77777777" w:rsidTr="00D8348B">
        <w:trPr>
          <w:cantSplit/>
          <w:tblHeader/>
        </w:trPr>
        <w:tc>
          <w:tcPr>
            <w:tcW w:w="1250" w:type="pct"/>
            <w:tcBorders>
              <w:top w:val="single" w:sz="4" w:space="0" w:color="auto"/>
              <w:left w:val="nil"/>
              <w:bottom w:val="single" w:sz="4" w:space="0" w:color="auto"/>
              <w:right w:val="nil"/>
            </w:tcBorders>
          </w:tcPr>
          <w:p w14:paraId="54682712" w14:textId="77777777" w:rsidR="00064973" w:rsidRPr="00D46C96" w:rsidRDefault="00064973" w:rsidP="00D8348B">
            <w:pPr>
              <w:pStyle w:val="TableHeading"/>
              <w:rPr>
                <w:rFonts w:ascii="Arial" w:hAnsi="Arial" w:cs="Arial"/>
                <w:sz w:val="22"/>
              </w:rPr>
            </w:pPr>
            <w:r w:rsidRPr="00D46C96">
              <w:rPr>
                <w:rFonts w:ascii="Arial" w:hAnsi="Arial" w:cs="Arial"/>
                <w:sz w:val="22"/>
              </w:rPr>
              <w:t>Date</w:t>
            </w:r>
          </w:p>
        </w:tc>
        <w:tc>
          <w:tcPr>
            <w:tcW w:w="3750" w:type="pct"/>
            <w:tcBorders>
              <w:top w:val="single" w:sz="4" w:space="0" w:color="auto"/>
              <w:left w:val="nil"/>
              <w:bottom w:val="single" w:sz="4" w:space="0" w:color="auto"/>
              <w:right w:val="nil"/>
            </w:tcBorders>
          </w:tcPr>
          <w:p w14:paraId="3AAFC504" w14:textId="77777777" w:rsidR="00064973" w:rsidRPr="00D46C96" w:rsidRDefault="00064973" w:rsidP="00D8348B">
            <w:pPr>
              <w:pStyle w:val="TableHeading"/>
              <w:rPr>
                <w:rFonts w:ascii="Arial" w:hAnsi="Arial" w:cs="Arial"/>
                <w:sz w:val="22"/>
              </w:rPr>
            </w:pPr>
            <w:r w:rsidRPr="00D46C96">
              <w:rPr>
                <w:rFonts w:ascii="Arial" w:hAnsi="Arial" w:cs="Arial"/>
                <w:sz w:val="22"/>
              </w:rPr>
              <w:t>Event</w:t>
            </w:r>
          </w:p>
        </w:tc>
      </w:tr>
      <w:tr w:rsidR="00064973" w:rsidRPr="00D46C96" w14:paraId="278A290C" w14:textId="77777777" w:rsidTr="00D8348B">
        <w:tc>
          <w:tcPr>
            <w:tcW w:w="1250" w:type="pct"/>
            <w:tcBorders>
              <w:top w:val="single" w:sz="4" w:space="0" w:color="auto"/>
              <w:left w:val="nil"/>
              <w:bottom w:val="single" w:sz="4" w:space="0" w:color="auto"/>
              <w:right w:val="nil"/>
            </w:tcBorders>
          </w:tcPr>
          <w:p w14:paraId="409C6D23" w14:textId="1AE03D03" w:rsidR="00064973" w:rsidRPr="00F4329A" w:rsidRDefault="00DB4499" w:rsidP="00D8348B">
            <w:pPr>
              <w:pStyle w:val="TableText"/>
              <w:rPr>
                <w:rFonts w:ascii="Arial" w:hAnsi="Arial" w:cs="Arial"/>
                <w:sz w:val="21"/>
                <w:szCs w:val="21"/>
              </w:rPr>
            </w:pPr>
            <w:r w:rsidRPr="00F4329A">
              <w:rPr>
                <w:rFonts w:ascii="Arial" w:hAnsi="Arial" w:cs="Arial"/>
                <w:sz w:val="21"/>
                <w:szCs w:val="21"/>
              </w:rPr>
              <w:t>N</w:t>
            </w:r>
            <w:r w:rsidR="00064973" w:rsidRPr="00F4329A">
              <w:rPr>
                <w:rFonts w:ascii="Arial" w:hAnsi="Arial" w:cs="Arial"/>
                <w:sz w:val="21"/>
                <w:szCs w:val="21"/>
              </w:rPr>
              <w:t>ovember 2021</w:t>
            </w:r>
          </w:p>
        </w:tc>
        <w:tc>
          <w:tcPr>
            <w:tcW w:w="3750" w:type="pct"/>
            <w:tcBorders>
              <w:top w:val="single" w:sz="4" w:space="0" w:color="auto"/>
              <w:left w:val="nil"/>
              <w:bottom w:val="single" w:sz="4" w:space="0" w:color="auto"/>
              <w:right w:val="nil"/>
            </w:tcBorders>
          </w:tcPr>
          <w:p w14:paraId="4C139D66" w14:textId="77777777" w:rsidR="00064973" w:rsidRPr="00F4329A" w:rsidRDefault="00064973" w:rsidP="00D8348B">
            <w:pPr>
              <w:pStyle w:val="TableText"/>
              <w:rPr>
                <w:rFonts w:ascii="Arial" w:hAnsi="Arial" w:cs="Arial"/>
                <w:sz w:val="21"/>
                <w:szCs w:val="21"/>
              </w:rPr>
            </w:pPr>
            <w:r w:rsidRPr="00F4329A">
              <w:rPr>
                <w:rFonts w:ascii="Arial" w:hAnsi="Arial" w:cs="Arial"/>
                <w:sz w:val="21"/>
                <w:szCs w:val="21"/>
              </w:rPr>
              <w:t>Applications open</w:t>
            </w:r>
          </w:p>
        </w:tc>
      </w:tr>
      <w:tr w:rsidR="00064973" w:rsidRPr="00D46C96" w14:paraId="7A961770" w14:textId="77777777" w:rsidTr="00D8348B">
        <w:tc>
          <w:tcPr>
            <w:tcW w:w="1250" w:type="pct"/>
            <w:tcBorders>
              <w:top w:val="single" w:sz="4" w:space="0" w:color="auto"/>
              <w:left w:val="nil"/>
              <w:bottom w:val="single" w:sz="4" w:space="0" w:color="auto"/>
              <w:right w:val="nil"/>
            </w:tcBorders>
          </w:tcPr>
          <w:p w14:paraId="7A5586C6" w14:textId="77777777" w:rsidR="00064973" w:rsidRPr="00F4329A" w:rsidRDefault="00064973" w:rsidP="00D8348B">
            <w:pPr>
              <w:pStyle w:val="TableText"/>
              <w:rPr>
                <w:rFonts w:ascii="Arial" w:hAnsi="Arial" w:cs="Arial"/>
                <w:sz w:val="21"/>
                <w:szCs w:val="21"/>
              </w:rPr>
            </w:pPr>
            <w:r w:rsidRPr="00F4329A">
              <w:rPr>
                <w:rFonts w:ascii="Arial" w:hAnsi="Arial" w:cs="Arial"/>
                <w:sz w:val="21"/>
                <w:szCs w:val="21"/>
              </w:rPr>
              <w:t>4 January 2022</w:t>
            </w:r>
          </w:p>
        </w:tc>
        <w:tc>
          <w:tcPr>
            <w:tcW w:w="3750" w:type="pct"/>
            <w:tcBorders>
              <w:top w:val="single" w:sz="4" w:space="0" w:color="auto"/>
              <w:left w:val="nil"/>
              <w:bottom w:val="single" w:sz="4" w:space="0" w:color="auto"/>
              <w:right w:val="nil"/>
            </w:tcBorders>
          </w:tcPr>
          <w:p w14:paraId="3E205CD4" w14:textId="77777777" w:rsidR="00064973" w:rsidRPr="00F4329A" w:rsidRDefault="00064973" w:rsidP="00D8348B">
            <w:pPr>
              <w:pStyle w:val="TableText"/>
              <w:rPr>
                <w:rFonts w:ascii="Arial" w:hAnsi="Arial" w:cs="Arial"/>
                <w:sz w:val="21"/>
                <w:szCs w:val="21"/>
              </w:rPr>
            </w:pPr>
            <w:r w:rsidRPr="00F4329A">
              <w:rPr>
                <w:rFonts w:ascii="Arial" w:hAnsi="Arial" w:cs="Arial"/>
                <w:sz w:val="21"/>
                <w:szCs w:val="21"/>
              </w:rPr>
              <w:t xml:space="preserve">Applications close </w:t>
            </w:r>
          </w:p>
        </w:tc>
      </w:tr>
      <w:tr w:rsidR="00064973" w:rsidRPr="00D46C96" w14:paraId="5431EBC2" w14:textId="77777777" w:rsidTr="00D8348B">
        <w:tc>
          <w:tcPr>
            <w:tcW w:w="1250" w:type="pct"/>
            <w:tcBorders>
              <w:top w:val="single" w:sz="4" w:space="0" w:color="auto"/>
              <w:left w:val="nil"/>
              <w:bottom w:val="single" w:sz="4" w:space="0" w:color="auto"/>
              <w:right w:val="nil"/>
            </w:tcBorders>
          </w:tcPr>
          <w:p w14:paraId="6B0E2F80" w14:textId="77777777" w:rsidR="00064973" w:rsidRPr="00F4329A" w:rsidRDefault="00064973" w:rsidP="00D8348B">
            <w:pPr>
              <w:pStyle w:val="TableText"/>
              <w:rPr>
                <w:rFonts w:ascii="Arial" w:hAnsi="Arial" w:cs="Arial"/>
                <w:sz w:val="21"/>
                <w:szCs w:val="21"/>
              </w:rPr>
            </w:pPr>
            <w:r w:rsidRPr="00F4329A">
              <w:rPr>
                <w:rFonts w:ascii="Arial" w:hAnsi="Arial" w:cs="Arial"/>
                <w:sz w:val="21"/>
                <w:szCs w:val="21"/>
              </w:rPr>
              <w:t>End January 2022</w:t>
            </w:r>
          </w:p>
        </w:tc>
        <w:tc>
          <w:tcPr>
            <w:tcW w:w="3750" w:type="pct"/>
            <w:tcBorders>
              <w:top w:val="single" w:sz="4" w:space="0" w:color="auto"/>
              <w:left w:val="nil"/>
              <w:bottom w:val="single" w:sz="4" w:space="0" w:color="auto"/>
              <w:right w:val="nil"/>
            </w:tcBorders>
          </w:tcPr>
          <w:p w14:paraId="1A413F9B" w14:textId="77777777" w:rsidR="00064973" w:rsidRPr="00F4329A" w:rsidRDefault="00064973" w:rsidP="00D8348B">
            <w:pPr>
              <w:pStyle w:val="TableText"/>
              <w:rPr>
                <w:rFonts w:ascii="Arial" w:hAnsi="Arial" w:cs="Arial"/>
                <w:sz w:val="21"/>
                <w:szCs w:val="21"/>
              </w:rPr>
            </w:pPr>
            <w:r w:rsidRPr="00F4329A">
              <w:rPr>
                <w:rFonts w:ascii="Arial" w:hAnsi="Arial" w:cs="Arial"/>
                <w:sz w:val="21"/>
                <w:szCs w:val="21"/>
              </w:rPr>
              <w:t>Green Industries SA assessment process completed</w:t>
            </w:r>
          </w:p>
        </w:tc>
      </w:tr>
      <w:tr w:rsidR="00064973" w:rsidRPr="00D46C96" w14:paraId="0B3F2086" w14:textId="77777777" w:rsidTr="00D8348B">
        <w:tc>
          <w:tcPr>
            <w:tcW w:w="1250" w:type="pct"/>
            <w:tcBorders>
              <w:top w:val="single" w:sz="4" w:space="0" w:color="auto"/>
              <w:left w:val="nil"/>
              <w:bottom w:val="single" w:sz="4" w:space="0" w:color="auto"/>
              <w:right w:val="nil"/>
            </w:tcBorders>
          </w:tcPr>
          <w:p w14:paraId="1A2E5223" w14:textId="77777777" w:rsidR="00064973" w:rsidRPr="00F4329A" w:rsidRDefault="00064973" w:rsidP="00D8348B">
            <w:pPr>
              <w:pStyle w:val="TableText"/>
              <w:rPr>
                <w:rFonts w:ascii="Arial" w:hAnsi="Arial" w:cs="Arial"/>
                <w:sz w:val="21"/>
                <w:szCs w:val="21"/>
              </w:rPr>
            </w:pPr>
            <w:r w:rsidRPr="00F4329A">
              <w:rPr>
                <w:rFonts w:ascii="Arial" w:hAnsi="Arial" w:cs="Arial"/>
                <w:sz w:val="21"/>
                <w:szCs w:val="21"/>
              </w:rPr>
              <w:t>Early February 2022</w:t>
            </w:r>
          </w:p>
        </w:tc>
        <w:tc>
          <w:tcPr>
            <w:tcW w:w="3750" w:type="pct"/>
            <w:tcBorders>
              <w:top w:val="single" w:sz="4" w:space="0" w:color="auto"/>
              <w:left w:val="nil"/>
              <w:bottom w:val="single" w:sz="4" w:space="0" w:color="auto"/>
              <w:right w:val="nil"/>
            </w:tcBorders>
          </w:tcPr>
          <w:p w14:paraId="7E11C853" w14:textId="42E38FF2" w:rsidR="00064973" w:rsidRPr="00F4329A" w:rsidRDefault="00064973" w:rsidP="00DB4499">
            <w:pPr>
              <w:pStyle w:val="TableText"/>
              <w:rPr>
                <w:rFonts w:ascii="Arial" w:hAnsi="Arial" w:cs="Arial"/>
                <w:sz w:val="21"/>
                <w:szCs w:val="21"/>
              </w:rPr>
            </w:pPr>
            <w:r w:rsidRPr="00F4329A">
              <w:rPr>
                <w:rFonts w:ascii="Arial" w:hAnsi="Arial" w:cs="Arial"/>
                <w:sz w:val="21"/>
                <w:szCs w:val="21"/>
              </w:rPr>
              <w:t xml:space="preserve">Recommended </w:t>
            </w:r>
            <w:r w:rsidR="00DB4499" w:rsidRPr="00F4329A">
              <w:rPr>
                <w:rFonts w:ascii="Arial" w:hAnsi="Arial" w:cs="Arial"/>
                <w:sz w:val="21"/>
                <w:szCs w:val="21"/>
              </w:rPr>
              <w:t>applications submitted to the Australian Government by Green Industries SA for assessment under Round 2 of the Food Waste for Healthy Soils Fund.</w:t>
            </w:r>
          </w:p>
        </w:tc>
      </w:tr>
      <w:tr w:rsidR="00064973" w:rsidRPr="00D46C96" w14:paraId="17EEF37B" w14:textId="77777777" w:rsidTr="00D8348B">
        <w:tc>
          <w:tcPr>
            <w:tcW w:w="1250" w:type="pct"/>
            <w:tcBorders>
              <w:top w:val="single" w:sz="4" w:space="0" w:color="auto"/>
              <w:left w:val="nil"/>
              <w:bottom w:val="single" w:sz="4" w:space="0" w:color="auto"/>
              <w:right w:val="nil"/>
            </w:tcBorders>
          </w:tcPr>
          <w:p w14:paraId="0FCF7EA3" w14:textId="4EA3D2F3" w:rsidR="00064973" w:rsidRPr="00F4329A" w:rsidRDefault="00F4329A" w:rsidP="00D8348B">
            <w:pPr>
              <w:pStyle w:val="TableText"/>
              <w:rPr>
                <w:rFonts w:ascii="Arial" w:hAnsi="Arial" w:cs="Arial"/>
                <w:sz w:val="21"/>
                <w:szCs w:val="21"/>
              </w:rPr>
            </w:pPr>
            <w:r w:rsidRPr="00F4329A">
              <w:rPr>
                <w:rFonts w:ascii="Arial" w:hAnsi="Arial" w:cs="Arial"/>
                <w:sz w:val="21"/>
                <w:szCs w:val="21"/>
              </w:rPr>
              <w:t xml:space="preserve">June </w:t>
            </w:r>
            <w:r w:rsidR="00064973" w:rsidRPr="00F4329A">
              <w:rPr>
                <w:rFonts w:ascii="Arial" w:hAnsi="Arial" w:cs="Arial"/>
                <w:sz w:val="21"/>
                <w:szCs w:val="21"/>
              </w:rPr>
              <w:t>2022</w:t>
            </w:r>
          </w:p>
        </w:tc>
        <w:tc>
          <w:tcPr>
            <w:tcW w:w="3750" w:type="pct"/>
            <w:tcBorders>
              <w:top w:val="single" w:sz="4" w:space="0" w:color="auto"/>
              <w:left w:val="nil"/>
              <w:bottom w:val="single" w:sz="4" w:space="0" w:color="auto"/>
              <w:right w:val="nil"/>
            </w:tcBorders>
          </w:tcPr>
          <w:p w14:paraId="2639F168" w14:textId="3B5DD092" w:rsidR="00064973" w:rsidRPr="00F4329A" w:rsidRDefault="00BF0538" w:rsidP="00BF0538">
            <w:pPr>
              <w:pStyle w:val="TableText"/>
              <w:rPr>
                <w:rFonts w:ascii="Arial" w:hAnsi="Arial" w:cs="Arial"/>
                <w:sz w:val="21"/>
                <w:szCs w:val="21"/>
              </w:rPr>
            </w:pPr>
            <w:r w:rsidRPr="00BF0538">
              <w:rPr>
                <w:rFonts w:ascii="Arial" w:hAnsi="Arial" w:cs="Arial"/>
                <w:sz w:val="21"/>
                <w:szCs w:val="21"/>
              </w:rPr>
              <w:t>Minister for the Environment’s decision on su</w:t>
            </w:r>
            <w:r>
              <w:rPr>
                <w:rFonts w:ascii="Arial" w:hAnsi="Arial" w:cs="Arial"/>
                <w:sz w:val="21"/>
                <w:szCs w:val="21"/>
              </w:rPr>
              <w:t>ccessful second intake projects</w:t>
            </w:r>
          </w:p>
        </w:tc>
      </w:tr>
    </w:tbl>
    <w:p w14:paraId="44FF8136" w14:textId="77777777" w:rsidR="00064973" w:rsidRPr="00D46C96" w:rsidRDefault="00064973" w:rsidP="00064973">
      <w:pPr>
        <w:rPr>
          <w:rFonts w:ascii="Arial" w:hAnsi="Arial" w:cs="Arial"/>
        </w:rPr>
      </w:pPr>
      <w:bookmarkStart w:id="4" w:name="_Hlk81294442"/>
    </w:p>
    <w:bookmarkEnd w:id="4"/>
    <w:p w14:paraId="190CD20E" w14:textId="20F19A3A" w:rsidR="00064973" w:rsidRPr="00BF0538" w:rsidRDefault="00BF0538" w:rsidP="00064973">
      <w:pPr>
        <w:pStyle w:val="Heading1"/>
        <w:rPr>
          <w:rFonts w:ascii="Arial" w:hAnsi="Arial" w:cs="Arial"/>
          <w:sz w:val="32"/>
        </w:rPr>
      </w:pPr>
      <w:r w:rsidRPr="00BF0538">
        <w:rPr>
          <w:rFonts w:ascii="Arial" w:hAnsi="Arial" w:cs="Arial"/>
          <w:sz w:val="32"/>
        </w:rPr>
        <w:t>O</w:t>
      </w:r>
      <w:r>
        <w:rPr>
          <w:rFonts w:ascii="Arial" w:hAnsi="Arial" w:cs="Arial"/>
          <w:sz w:val="32"/>
        </w:rPr>
        <w:t xml:space="preserve">bjectives </w:t>
      </w:r>
      <w:r w:rsidRPr="00BF0538">
        <w:rPr>
          <w:rFonts w:ascii="Arial" w:hAnsi="Arial" w:cs="Arial"/>
          <w:sz w:val="32"/>
        </w:rPr>
        <w:t>of the Food Waste for Healthy Soils Fund</w:t>
      </w:r>
    </w:p>
    <w:p w14:paraId="31BA42E7" w14:textId="77777777" w:rsidR="00BF0538" w:rsidRPr="00BF0538" w:rsidRDefault="00BF0538" w:rsidP="00BF0538">
      <w:pPr>
        <w:spacing w:after="0"/>
        <w:jc w:val="both"/>
        <w:rPr>
          <w:rFonts w:ascii="Arial" w:hAnsi="Arial" w:cs="Arial"/>
        </w:rPr>
      </w:pPr>
      <w:r w:rsidRPr="00BF0538">
        <w:rPr>
          <w:rFonts w:ascii="Arial" w:hAnsi="Arial" w:cs="Arial"/>
        </w:rPr>
        <w:t>This funding forms part of the $214.9 million commitment by the Australian Government in the 2021-22 Federal Budget to improve and protect Australia’s soil.</w:t>
      </w:r>
    </w:p>
    <w:p w14:paraId="22CAD875" w14:textId="77777777" w:rsidR="00BF0538" w:rsidRDefault="00BF0538" w:rsidP="00BF0538">
      <w:pPr>
        <w:spacing w:after="0"/>
        <w:jc w:val="both"/>
        <w:rPr>
          <w:rFonts w:ascii="Arial" w:hAnsi="Arial" w:cs="Arial"/>
        </w:rPr>
      </w:pPr>
    </w:p>
    <w:p w14:paraId="51A574AE" w14:textId="6AAC0763" w:rsidR="00BF0538" w:rsidRPr="00BF0538" w:rsidRDefault="00BF0538" w:rsidP="00BF0538">
      <w:pPr>
        <w:spacing w:after="0"/>
        <w:jc w:val="both"/>
        <w:rPr>
          <w:rFonts w:ascii="Arial" w:hAnsi="Arial" w:cs="Arial"/>
        </w:rPr>
      </w:pPr>
      <w:r w:rsidRPr="00BF0538">
        <w:rPr>
          <w:rFonts w:ascii="Arial" w:hAnsi="Arial" w:cs="Arial"/>
        </w:rPr>
        <w:t>The desired outcomes of the Food Waste for Healthy Soils Fund include:</w:t>
      </w:r>
    </w:p>
    <w:p w14:paraId="537A0C1B" w14:textId="70552137" w:rsidR="00BF0538" w:rsidRPr="00BF0538" w:rsidRDefault="00BF0538" w:rsidP="00BF0538">
      <w:pPr>
        <w:pStyle w:val="ListParagraph"/>
        <w:numPr>
          <w:ilvl w:val="0"/>
          <w:numId w:val="9"/>
        </w:numPr>
        <w:spacing w:after="0"/>
        <w:jc w:val="both"/>
        <w:rPr>
          <w:rFonts w:ascii="Arial" w:hAnsi="Arial" w:cs="Arial"/>
        </w:rPr>
      </w:pPr>
      <w:r w:rsidRPr="00BF0538">
        <w:rPr>
          <w:rFonts w:ascii="Arial" w:hAnsi="Arial" w:cs="Arial"/>
        </w:rPr>
        <w:t>infrastructure upgrades and developments that support the diversion of organic waste from landfill</w:t>
      </w:r>
    </w:p>
    <w:p w14:paraId="24EC0B79" w14:textId="2ED8C105" w:rsidR="00BF0538" w:rsidRPr="00BF0538" w:rsidRDefault="00BF0538" w:rsidP="00BF0538">
      <w:pPr>
        <w:pStyle w:val="ListParagraph"/>
        <w:numPr>
          <w:ilvl w:val="0"/>
          <w:numId w:val="9"/>
        </w:numPr>
        <w:spacing w:after="0"/>
        <w:jc w:val="both"/>
        <w:rPr>
          <w:rFonts w:ascii="Arial" w:hAnsi="Arial" w:cs="Arial"/>
        </w:rPr>
      </w:pPr>
      <w:r w:rsidRPr="00BF0538">
        <w:rPr>
          <w:rFonts w:ascii="Arial" w:hAnsi="Arial" w:cs="Arial"/>
        </w:rPr>
        <w:t xml:space="preserve">increasing the quantity and improving the quality, </w:t>
      </w:r>
      <w:proofErr w:type="gramStart"/>
      <w:r w:rsidRPr="00BF0538">
        <w:rPr>
          <w:rFonts w:ascii="Arial" w:hAnsi="Arial" w:cs="Arial"/>
        </w:rPr>
        <w:t>safety</w:t>
      </w:r>
      <w:proofErr w:type="gramEnd"/>
      <w:r w:rsidRPr="00BF0538">
        <w:rPr>
          <w:rFonts w:ascii="Arial" w:hAnsi="Arial" w:cs="Arial"/>
        </w:rPr>
        <w:t xml:space="preserve"> and consistency of recycled organic waste, especially for use in the agricultural industry</w:t>
      </w:r>
    </w:p>
    <w:p w14:paraId="0E80EEF6" w14:textId="122E7478" w:rsidR="00BF0538" w:rsidRPr="00BF0538" w:rsidRDefault="00BF0538" w:rsidP="00BF0538">
      <w:pPr>
        <w:pStyle w:val="ListParagraph"/>
        <w:numPr>
          <w:ilvl w:val="0"/>
          <w:numId w:val="9"/>
        </w:numPr>
        <w:spacing w:after="0"/>
        <w:jc w:val="both"/>
        <w:rPr>
          <w:rFonts w:ascii="Arial" w:hAnsi="Arial" w:cs="Arial"/>
        </w:rPr>
      </w:pPr>
      <w:r w:rsidRPr="00BF0538">
        <w:rPr>
          <w:rFonts w:ascii="Arial" w:hAnsi="Arial" w:cs="Arial"/>
        </w:rPr>
        <w:t>developing sustainable markets for high-value nutrient rich compost and soil conditioners.</w:t>
      </w:r>
    </w:p>
    <w:p w14:paraId="20AF58AD" w14:textId="77777777" w:rsidR="00BF0538" w:rsidRDefault="00BF0538" w:rsidP="00BF0538">
      <w:pPr>
        <w:spacing w:after="0"/>
        <w:jc w:val="both"/>
        <w:rPr>
          <w:rFonts w:ascii="Arial" w:hAnsi="Arial" w:cs="Arial"/>
        </w:rPr>
      </w:pPr>
    </w:p>
    <w:p w14:paraId="035C0A38" w14:textId="77777777" w:rsidR="00BF0538" w:rsidRDefault="00BF0538" w:rsidP="00BF0538">
      <w:pPr>
        <w:spacing w:after="0"/>
        <w:jc w:val="both"/>
        <w:rPr>
          <w:rFonts w:ascii="Arial" w:hAnsi="Arial" w:cs="Arial"/>
        </w:rPr>
      </w:pPr>
      <w:r w:rsidRPr="00BF0538">
        <w:rPr>
          <w:rFonts w:ascii="Arial" w:hAnsi="Arial" w:cs="Arial"/>
        </w:rPr>
        <w:lastRenderedPageBreak/>
        <w:t xml:space="preserve">This program will be an important element of the Government’s work on Target 6 of the National Waste Policy Action Plan (NWPAP) to </w:t>
      </w:r>
      <w:r w:rsidRPr="00BF0538">
        <w:rPr>
          <w:rFonts w:ascii="Arial" w:hAnsi="Arial" w:cs="Arial"/>
          <w:i/>
        </w:rPr>
        <w:t>Halve the amount of organic waste sent to landfill for disposal by 2030</w:t>
      </w:r>
      <w:r w:rsidRPr="00BF0538">
        <w:rPr>
          <w:rFonts w:ascii="Arial" w:hAnsi="Arial" w:cs="Arial"/>
        </w:rPr>
        <w:t>.</w:t>
      </w:r>
    </w:p>
    <w:p w14:paraId="01E9A6CA" w14:textId="77777777" w:rsidR="00BF0538" w:rsidRPr="00BF0538" w:rsidRDefault="00BF0538" w:rsidP="00BF0538">
      <w:pPr>
        <w:spacing w:after="0"/>
        <w:jc w:val="both"/>
        <w:rPr>
          <w:rFonts w:ascii="Arial" w:hAnsi="Arial" w:cs="Arial"/>
        </w:rPr>
      </w:pPr>
    </w:p>
    <w:p w14:paraId="7D00B851" w14:textId="0E1A03DC" w:rsidR="00BF0538" w:rsidRPr="00BF0538" w:rsidRDefault="00BF0538" w:rsidP="00BF0538">
      <w:pPr>
        <w:spacing w:after="0"/>
        <w:jc w:val="both"/>
        <w:rPr>
          <w:rFonts w:ascii="Arial" w:hAnsi="Arial" w:cs="Arial"/>
        </w:rPr>
      </w:pPr>
      <w:r w:rsidRPr="00BF0538">
        <w:rPr>
          <w:rFonts w:ascii="Arial" w:hAnsi="Arial" w:cs="Arial"/>
        </w:rPr>
        <w:t>Through the NWPAP, governments have a goal to recover 80% of Australia’s organic waste materials by 2030. The Food Waste for Healthy Soils Fund will divert up to 3.4 million tonnes of organic waste from landfill.</w:t>
      </w:r>
    </w:p>
    <w:p w14:paraId="7BB040DC" w14:textId="77777777" w:rsidR="00BF0538" w:rsidRDefault="00BF0538" w:rsidP="00BF0538">
      <w:pPr>
        <w:spacing w:after="0"/>
        <w:jc w:val="both"/>
        <w:rPr>
          <w:rFonts w:ascii="Arial" w:hAnsi="Arial" w:cs="Arial"/>
        </w:rPr>
      </w:pPr>
    </w:p>
    <w:p w14:paraId="1FAC018D" w14:textId="77777777" w:rsidR="00BF0538" w:rsidRPr="00BF0538" w:rsidRDefault="00BF0538" w:rsidP="00BF0538">
      <w:pPr>
        <w:spacing w:after="0"/>
        <w:jc w:val="both"/>
        <w:rPr>
          <w:rFonts w:ascii="Arial" w:hAnsi="Arial" w:cs="Arial"/>
        </w:rPr>
      </w:pPr>
      <w:r w:rsidRPr="00BF0538">
        <w:rPr>
          <w:rFonts w:ascii="Arial" w:hAnsi="Arial" w:cs="Arial"/>
        </w:rPr>
        <w:t>By achieving the goal of 80% recovery for organic waste, this will:</w:t>
      </w:r>
    </w:p>
    <w:p w14:paraId="24C43718" w14:textId="30FAB49D" w:rsidR="00BF0538" w:rsidRPr="00BF0538" w:rsidRDefault="00BF0538" w:rsidP="00BF0538">
      <w:pPr>
        <w:pStyle w:val="ListParagraph"/>
        <w:numPr>
          <w:ilvl w:val="0"/>
          <w:numId w:val="9"/>
        </w:numPr>
        <w:spacing w:after="0"/>
        <w:jc w:val="both"/>
        <w:rPr>
          <w:rFonts w:ascii="Arial" w:hAnsi="Arial" w:cs="Arial"/>
        </w:rPr>
      </w:pPr>
      <w:r w:rsidRPr="00BF0538">
        <w:rPr>
          <w:rFonts w:ascii="Arial" w:hAnsi="Arial" w:cs="Arial"/>
        </w:rPr>
        <w:t>generate $401 million in industry value add towards the Australian economy</w:t>
      </w:r>
    </w:p>
    <w:p w14:paraId="16826864" w14:textId="7CF63E30" w:rsidR="00BF0538" w:rsidRPr="00BF0538" w:rsidRDefault="00BF0538" w:rsidP="00BF0538">
      <w:pPr>
        <w:pStyle w:val="ListParagraph"/>
        <w:numPr>
          <w:ilvl w:val="0"/>
          <w:numId w:val="9"/>
        </w:numPr>
        <w:spacing w:after="0"/>
        <w:jc w:val="both"/>
        <w:rPr>
          <w:rFonts w:ascii="Arial" w:hAnsi="Arial" w:cs="Arial"/>
        </w:rPr>
      </w:pPr>
      <w:r w:rsidRPr="00BF0538">
        <w:rPr>
          <w:rFonts w:ascii="Arial" w:hAnsi="Arial" w:cs="Arial"/>
        </w:rPr>
        <w:t>support up to 2,700 additional jobs in the organic recycling industry</w:t>
      </w:r>
    </w:p>
    <w:p w14:paraId="23EB818C" w14:textId="618CE1BA" w:rsidR="00BF0538" w:rsidRPr="00BF0538" w:rsidRDefault="00BF0538" w:rsidP="00BF0538">
      <w:pPr>
        <w:pStyle w:val="ListParagraph"/>
        <w:numPr>
          <w:ilvl w:val="0"/>
          <w:numId w:val="9"/>
        </w:numPr>
        <w:spacing w:after="0"/>
        <w:jc w:val="both"/>
        <w:rPr>
          <w:rFonts w:ascii="Arial" w:hAnsi="Arial" w:cs="Arial"/>
        </w:rPr>
      </w:pPr>
      <w:r w:rsidRPr="00BF0538">
        <w:rPr>
          <w:rFonts w:ascii="Arial" w:hAnsi="Arial" w:cs="Arial"/>
        </w:rPr>
        <w:t>avoid over 2 million tonnes of greenhouse gas emissions (the equivalent of taking nearly half a million cars off the road or planting over 23.1 million trees).</w:t>
      </w:r>
    </w:p>
    <w:p w14:paraId="187F493D" w14:textId="77777777" w:rsidR="00064973" w:rsidRPr="00B32680" w:rsidRDefault="00064973" w:rsidP="00064973">
      <w:pPr>
        <w:spacing w:after="0"/>
        <w:jc w:val="both"/>
        <w:rPr>
          <w:rFonts w:ascii="Arial" w:hAnsi="Arial" w:cs="Arial"/>
        </w:rPr>
      </w:pPr>
    </w:p>
    <w:p w14:paraId="6629640D" w14:textId="77777777" w:rsidR="00064973" w:rsidRPr="00F4329A" w:rsidRDefault="00064973" w:rsidP="00064973">
      <w:pPr>
        <w:pStyle w:val="Heading1"/>
        <w:rPr>
          <w:rFonts w:ascii="Arial" w:hAnsi="Arial" w:cs="Arial"/>
          <w:sz w:val="32"/>
        </w:rPr>
      </w:pPr>
      <w:bookmarkStart w:id="5" w:name="_Toc299542237"/>
      <w:bookmarkStart w:id="6" w:name="_Toc454959386"/>
      <w:bookmarkStart w:id="7" w:name="_Toc61612793"/>
      <w:r w:rsidRPr="00F4329A">
        <w:rPr>
          <w:rFonts w:ascii="Arial" w:hAnsi="Arial" w:cs="Arial"/>
          <w:sz w:val="32"/>
        </w:rPr>
        <w:t>A</w:t>
      </w:r>
      <w:bookmarkEnd w:id="5"/>
      <w:r w:rsidRPr="00F4329A">
        <w:rPr>
          <w:rFonts w:ascii="Arial" w:hAnsi="Arial" w:cs="Arial"/>
          <w:sz w:val="32"/>
        </w:rPr>
        <w:t>vailable funding</w:t>
      </w:r>
      <w:bookmarkEnd w:id="6"/>
      <w:r w:rsidRPr="00F4329A">
        <w:rPr>
          <w:rFonts w:ascii="Arial" w:hAnsi="Arial" w:cs="Arial"/>
          <w:sz w:val="32"/>
        </w:rPr>
        <w:t xml:space="preserve"> and applicant co-contribution</w:t>
      </w:r>
      <w:bookmarkEnd w:id="7"/>
    </w:p>
    <w:p w14:paraId="5CF03E15" w14:textId="5AC421FB" w:rsidR="00064973" w:rsidRPr="00BF0538" w:rsidRDefault="00064973" w:rsidP="00064973">
      <w:pPr>
        <w:pStyle w:val="CabStandard"/>
        <w:numPr>
          <w:ilvl w:val="0"/>
          <w:numId w:val="0"/>
        </w:numPr>
        <w:jc w:val="both"/>
        <w:rPr>
          <w:rFonts w:ascii="Arial" w:hAnsi="Arial" w:cs="Arial"/>
          <w:sz w:val="22"/>
          <w:szCs w:val="22"/>
          <w:lang w:val="en-AU" w:eastAsia="en-AU"/>
        </w:rPr>
      </w:pPr>
      <w:r w:rsidRPr="00BF0538">
        <w:rPr>
          <w:rFonts w:ascii="Arial" w:hAnsi="Arial" w:cs="Arial"/>
          <w:sz w:val="22"/>
          <w:szCs w:val="22"/>
          <w:lang w:val="en-AU" w:eastAsia="en-AU"/>
        </w:rPr>
        <w:t xml:space="preserve">Recycling </w:t>
      </w:r>
      <w:r w:rsidR="00F4329A" w:rsidRPr="00BF0538">
        <w:rPr>
          <w:rFonts w:ascii="Arial" w:hAnsi="Arial" w:cs="Arial"/>
          <w:sz w:val="22"/>
          <w:szCs w:val="22"/>
          <w:lang w:val="en-AU" w:eastAsia="en-AU"/>
        </w:rPr>
        <w:t xml:space="preserve">Infrastructure </w:t>
      </w:r>
      <w:r w:rsidRPr="00BF0538">
        <w:rPr>
          <w:rFonts w:ascii="Arial" w:hAnsi="Arial" w:cs="Arial"/>
          <w:sz w:val="22"/>
          <w:szCs w:val="22"/>
          <w:lang w:val="en-AU" w:eastAsia="en-AU"/>
        </w:rPr>
        <w:t xml:space="preserve">Grants offered through this program represent a combined contribution from both the South Australian and Commonwealth governments. Applications for </w:t>
      </w:r>
      <w:r w:rsidR="00F4329A" w:rsidRPr="00BF0538">
        <w:rPr>
          <w:rFonts w:ascii="Arial" w:hAnsi="Arial" w:cs="Arial"/>
          <w:sz w:val="22"/>
          <w:szCs w:val="22"/>
          <w:lang w:val="en-AU" w:eastAsia="en-AU"/>
        </w:rPr>
        <w:t xml:space="preserve">South Australian government </w:t>
      </w:r>
      <w:r w:rsidRPr="00BF0538">
        <w:rPr>
          <w:rFonts w:ascii="Arial" w:hAnsi="Arial" w:cs="Arial"/>
          <w:sz w:val="22"/>
          <w:szCs w:val="22"/>
          <w:lang w:val="en-AU" w:eastAsia="en-AU"/>
        </w:rPr>
        <w:t>funding from $20,000 to a maximum of $500,000 will be available, for large scale projects involving significant capital expenditure and of state significance.</w:t>
      </w:r>
    </w:p>
    <w:p w14:paraId="078A9309" w14:textId="5E97C4BC" w:rsidR="00064973" w:rsidRDefault="00064973" w:rsidP="00064973">
      <w:pPr>
        <w:pStyle w:val="CabStandard"/>
        <w:numPr>
          <w:ilvl w:val="0"/>
          <w:numId w:val="0"/>
        </w:numPr>
        <w:jc w:val="both"/>
        <w:rPr>
          <w:rFonts w:ascii="Arial" w:hAnsi="Arial" w:cs="Arial"/>
          <w:sz w:val="22"/>
          <w:szCs w:val="22"/>
          <w:lang w:val="en-AU" w:eastAsia="en-AU"/>
        </w:rPr>
      </w:pPr>
      <w:r w:rsidRPr="00BF0538">
        <w:rPr>
          <w:rFonts w:ascii="Arial" w:hAnsi="Arial" w:cs="Arial"/>
          <w:sz w:val="22"/>
          <w:szCs w:val="22"/>
          <w:lang w:val="en-AU" w:eastAsia="en-AU"/>
        </w:rPr>
        <w:t xml:space="preserve">Applicants are required to provide a minimum cash contribution of </w:t>
      </w:r>
      <w:r w:rsidR="007C3121" w:rsidRPr="00BF0538">
        <w:rPr>
          <w:rFonts w:ascii="Arial" w:hAnsi="Arial" w:cs="Arial"/>
          <w:sz w:val="22"/>
          <w:szCs w:val="22"/>
          <w:u w:val="single"/>
          <w:lang w:val="en-AU" w:eastAsia="en-AU"/>
        </w:rPr>
        <w:t>33</w:t>
      </w:r>
      <w:r w:rsidRPr="00BF0538">
        <w:rPr>
          <w:rFonts w:ascii="Arial" w:hAnsi="Arial" w:cs="Arial"/>
          <w:sz w:val="22"/>
          <w:szCs w:val="22"/>
          <w:u w:val="single"/>
          <w:lang w:val="en-AU" w:eastAsia="en-AU"/>
        </w:rPr>
        <w:t>% of the requested grant amount</w:t>
      </w:r>
      <w:r w:rsidRPr="00BF0538">
        <w:rPr>
          <w:rFonts w:ascii="Arial" w:hAnsi="Arial" w:cs="Arial"/>
          <w:sz w:val="22"/>
          <w:szCs w:val="22"/>
          <w:lang w:val="en-AU" w:eastAsia="en-AU"/>
        </w:rPr>
        <w:t>, being 1/3 of the project cost (1:1:1 funding).</w:t>
      </w:r>
    </w:p>
    <w:p w14:paraId="71459E8A" w14:textId="36C11A9F" w:rsidR="00BF0538" w:rsidRPr="00BF0538" w:rsidRDefault="00BF0538" w:rsidP="00064973">
      <w:pPr>
        <w:pStyle w:val="CabStandard"/>
        <w:numPr>
          <w:ilvl w:val="0"/>
          <w:numId w:val="0"/>
        </w:numPr>
        <w:jc w:val="both"/>
        <w:rPr>
          <w:rFonts w:ascii="Arial" w:hAnsi="Arial" w:cs="Arial"/>
          <w:sz w:val="22"/>
          <w:szCs w:val="22"/>
          <w:lang w:val="en-AU" w:eastAsia="en-AU"/>
        </w:rPr>
      </w:pPr>
      <w:r>
        <w:rPr>
          <w:rFonts w:ascii="Arial" w:hAnsi="Arial" w:cs="Arial"/>
          <w:sz w:val="22"/>
          <w:szCs w:val="22"/>
          <w:lang w:val="en-AU" w:eastAsia="en-AU"/>
        </w:rPr>
        <w:t xml:space="preserve">South Australian and </w:t>
      </w:r>
      <w:r w:rsidRPr="00BF0538">
        <w:rPr>
          <w:rFonts w:ascii="Arial" w:hAnsi="Arial" w:cs="Arial"/>
          <w:sz w:val="22"/>
          <w:szCs w:val="22"/>
          <w:lang w:val="en-AU" w:eastAsia="en-AU"/>
        </w:rPr>
        <w:t>Commonwealth funding will be contingent on projects gaining any necessary regulatory and planning approvals required to proceed to construction.</w:t>
      </w:r>
    </w:p>
    <w:p w14:paraId="6A3766DB" w14:textId="77777777" w:rsidR="00064973" w:rsidRPr="00BF0538" w:rsidRDefault="00064973" w:rsidP="00064973">
      <w:pPr>
        <w:pStyle w:val="CabStandard"/>
        <w:numPr>
          <w:ilvl w:val="0"/>
          <w:numId w:val="0"/>
        </w:numPr>
        <w:jc w:val="both"/>
        <w:rPr>
          <w:rFonts w:ascii="Arial" w:hAnsi="Arial" w:cs="Arial"/>
          <w:b/>
          <w:sz w:val="22"/>
          <w:szCs w:val="22"/>
          <w:lang w:val="en-AU" w:eastAsia="en-AU"/>
        </w:rPr>
      </w:pPr>
      <w:r w:rsidRPr="00BF0538">
        <w:rPr>
          <w:rFonts w:ascii="Arial" w:hAnsi="Arial" w:cs="Arial"/>
          <w:b/>
          <w:sz w:val="22"/>
          <w:szCs w:val="22"/>
          <w:lang w:val="en-AU" w:eastAsia="en-AU"/>
        </w:rPr>
        <w:t xml:space="preserve">Applicants that include a cash co-contribution of </w:t>
      </w:r>
      <w:r w:rsidRPr="00BF0538">
        <w:rPr>
          <w:rFonts w:ascii="Arial" w:hAnsi="Arial" w:cs="Arial"/>
          <w:b/>
          <w:sz w:val="22"/>
          <w:szCs w:val="22"/>
          <w:u w:val="single"/>
          <w:lang w:val="en-AU" w:eastAsia="en-AU"/>
        </w:rPr>
        <w:t>greater than 50% of the requested grant amount</w:t>
      </w:r>
      <w:r w:rsidRPr="00BF0538">
        <w:rPr>
          <w:rFonts w:ascii="Arial" w:hAnsi="Arial" w:cs="Arial"/>
          <w:b/>
          <w:sz w:val="22"/>
          <w:szCs w:val="22"/>
          <w:lang w:val="en-AU" w:eastAsia="en-AU"/>
        </w:rPr>
        <w:t xml:space="preserve"> will be viewed favourably, as this will maximize the State and Commonwealth government’s return on investment.  </w:t>
      </w:r>
    </w:p>
    <w:p w14:paraId="6A71CE4D" w14:textId="77777777" w:rsidR="00064973" w:rsidRPr="0095309D" w:rsidRDefault="00064973" w:rsidP="00064973">
      <w:pPr>
        <w:pStyle w:val="Heading1"/>
        <w:rPr>
          <w:rFonts w:ascii="Arial" w:hAnsi="Arial" w:cs="Arial"/>
          <w:sz w:val="32"/>
        </w:rPr>
      </w:pPr>
      <w:r w:rsidRPr="0095309D">
        <w:rPr>
          <w:rFonts w:ascii="Arial" w:hAnsi="Arial" w:cs="Arial"/>
          <w:sz w:val="32"/>
        </w:rPr>
        <w:t>Eligibility criteria</w:t>
      </w:r>
    </w:p>
    <w:p w14:paraId="6040B187" w14:textId="06D0EADC" w:rsidR="0095309D" w:rsidRDefault="0095309D" w:rsidP="0095309D">
      <w:pPr>
        <w:rPr>
          <w:rFonts w:ascii="Arial" w:hAnsi="Arial" w:cs="Arial"/>
        </w:rPr>
      </w:pPr>
      <w:r w:rsidRPr="0016553F">
        <w:rPr>
          <w:rFonts w:ascii="Arial" w:hAnsi="Arial" w:cs="Arial"/>
        </w:rPr>
        <w:t xml:space="preserve">Commonwealth funding </w:t>
      </w:r>
      <w:r>
        <w:rPr>
          <w:rFonts w:ascii="Arial" w:hAnsi="Arial" w:cs="Arial"/>
        </w:rPr>
        <w:t xml:space="preserve">is to be applied for by </w:t>
      </w:r>
      <w:r w:rsidRPr="0016553F">
        <w:rPr>
          <w:rFonts w:ascii="Arial" w:hAnsi="Arial" w:cs="Arial"/>
        </w:rPr>
        <w:t>state and territory governments and must include an industry partner.</w:t>
      </w:r>
      <w:r w:rsidR="00B62AA6" w:rsidRPr="00B62AA6">
        <w:t xml:space="preserve"> </w:t>
      </w:r>
    </w:p>
    <w:p w14:paraId="61BA95FA" w14:textId="77777777" w:rsidR="0016553F" w:rsidRDefault="0016553F" w:rsidP="0016553F">
      <w:pPr>
        <w:rPr>
          <w:rFonts w:ascii="Arial" w:hAnsi="Arial" w:cs="Arial"/>
        </w:rPr>
      </w:pPr>
      <w:r w:rsidRPr="0095309D">
        <w:rPr>
          <w:rFonts w:ascii="Arial" w:hAnsi="Arial" w:cs="Arial"/>
        </w:rPr>
        <w:t>Applications received by Green Industries SA will be assessed by a panel through a competitive</w:t>
      </w:r>
      <w:r w:rsidRPr="0016553F">
        <w:rPr>
          <w:rFonts w:ascii="Arial" w:hAnsi="Arial" w:cs="Arial"/>
        </w:rPr>
        <w:t xml:space="preserve"> process, with recommended projects submitted to the </w:t>
      </w:r>
      <w:r>
        <w:rPr>
          <w:rFonts w:ascii="Arial" w:hAnsi="Arial" w:cs="Arial"/>
        </w:rPr>
        <w:t>Green Industries SA</w:t>
      </w:r>
      <w:r w:rsidRPr="0016553F">
        <w:rPr>
          <w:rFonts w:ascii="Arial" w:hAnsi="Arial" w:cs="Arial"/>
        </w:rPr>
        <w:t xml:space="preserve"> Board and Minister for endorsement (nominally early February 2022). Supported applications will be submitted to the Australian Government by Green Industries SA for assessment under Round 2 of the Food Waste for Healthy Soils Fund. </w:t>
      </w:r>
    </w:p>
    <w:p w14:paraId="7A7962C8" w14:textId="17CEAC20" w:rsidR="00B62AA6" w:rsidRDefault="00B62AA6" w:rsidP="0016553F">
      <w:pPr>
        <w:rPr>
          <w:rFonts w:ascii="Arial" w:hAnsi="Arial" w:cs="Arial"/>
        </w:rPr>
      </w:pPr>
      <w:r w:rsidRPr="00B62AA6">
        <w:rPr>
          <w:rFonts w:ascii="Arial" w:hAnsi="Arial" w:cs="Arial"/>
        </w:rPr>
        <w:t>The submission of an application does not guarantee funding.</w:t>
      </w:r>
    </w:p>
    <w:p w14:paraId="2B044BA5" w14:textId="6087ECA1" w:rsidR="00064973" w:rsidRPr="0016553F" w:rsidRDefault="00064973" w:rsidP="00064973">
      <w:pPr>
        <w:rPr>
          <w:rFonts w:ascii="Arial" w:hAnsi="Arial" w:cs="Arial"/>
        </w:rPr>
      </w:pPr>
      <w:r w:rsidRPr="0016553F">
        <w:rPr>
          <w:rFonts w:ascii="Arial" w:hAnsi="Arial" w:cs="Arial"/>
        </w:rPr>
        <w:t>Applications will need to meet the following criteria:</w:t>
      </w:r>
    </w:p>
    <w:p w14:paraId="2A5B9B7E" w14:textId="2BC254B6" w:rsidR="0016553F" w:rsidRPr="0016553F" w:rsidRDefault="0016553F" w:rsidP="0016553F">
      <w:pPr>
        <w:pStyle w:val="ListNumber"/>
        <w:rPr>
          <w:rFonts w:ascii="Arial" w:hAnsi="Arial" w:cs="Arial"/>
        </w:rPr>
      </w:pPr>
      <w:r w:rsidRPr="0016553F">
        <w:rPr>
          <w:rFonts w:ascii="Arial" w:hAnsi="Arial" w:cs="Arial"/>
        </w:rPr>
        <w:t xml:space="preserve">Applications must relate to a project to </w:t>
      </w:r>
      <w:r w:rsidR="001F63C9">
        <w:rPr>
          <w:rFonts w:ascii="Arial" w:hAnsi="Arial" w:cs="Arial"/>
        </w:rPr>
        <w:t>increase</w:t>
      </w:r>
      <w:r w:rsidRPr="0016553F">
        <w:rPr>
          <w:rFonts w:ascii="Arial" w:hAnsi="Arial" w:cs="Arial"/>
        </w:rPr>
        <w:t xml:space="preserve"> processing capacity or improve product quality of process</w:t>
      </w:r>
      <w:r w:rsidR="001F63C9">
        <w:rPr>
          <w:rFonts w:ascii="Arial" w:hAnsi="Arial" w:cs="Arial"/>
        </w:rPr>
        <w:t>ed</w:t>
      </w:r>
      <w:r w:rsidRPr="0016553F">
        <w:rPr>
          <w:rFonts w:ascii="Arial" w:hAnsi="Arial" w:cs="Arial"/>
        </w:rPr>
        <w:t xml:space="preserve"> recovered</w:t>
      </w:r>
      <w:r w:rsidR="00943CB1">
        <w:rPr>
          <w:rFonts w:ascii="Arial" w:hAnsi="Arial" w:cs="Arial"/>
        </w:rPr>
        <w:t>,</w:t>
      </w:r>
      <w:r w:rsidRPr="0016553F">
        <w:rPr>
          <w:rFonts w:ascii="Arial" w:hAnsi="Arial" w:cs="Arial"/>
        </w:rPr>
        <w:t xml:space="preserve"> </w:t>
      </w:r>
      <w:r w:rsidR="000767BA">
        <w:rPr>
          <w:rFonts w:ascii="Arial" w:hAnsi="Arial" w:cs="Arial"/>
        </w:rPr>
        <w:t xml:space="preserve">source </w:t>
      </w:r>
      <w:r w:rsidR="00943CB1">
        <w:rPr>
          <w:rFonts w:ascii="Arial" w:hAnsi="Arial" w:cs="Arial"/>
        </w:rPr>
        <w:t>segregated,</w:t>
      </w:r>
      <w:r w:rsidR="000767BA">
        <w:rPr>
          <w:rFonts w:ascii="Arial" w:hAnsi="Arial" w:cs="Arial"/>
        </w:rPr>
        <w:t xml:space="preserve"> </w:t>
      </w:r>
      <w:r w:rsidRPr="0016553F">
        <w:rPr>
          <w:rFonts w:ascii="Arial" w:hAnsi="Arial" w:cs="Arial"/>
        </w:rPr>
        <w:t>organic waste that is either:</w:t>
      </w:r>
    </w:p>
    <w:p w14:paraId="17690BBD" w14:textId="7415B677" w:rsidR="0016553F" w:rsidRPr="0016553F" w:rsidRDefault="0016553F" w:rsidP="0016553F">
      <w:pPr>
        <w:pStyle w:val="ListNumber"/>
        <w:numPr>
          <w:ilvl w:val="0"/>
          <w:numId w:val="15"/>
        </w:numPr>
        <w:rPr>
          <w:rFonts w:ascii="Arial" w:hAnsi="Arial" w:cs="Arial"/>
        </w:rPr>
      </w:pPr>
      <w:r w:rsidRPr="0016553F">
        <w:rPr>
          <w:rFonts w:ascii="Arial" w:hAnsi="Arial" w:cs="Arial"/>
        </w:rPr>
        <w:t>a proposed new facility, or</w:t>
      </w:r>
    </w:p>
    <w:p w14:paraId="0F456D1C" w14:textId="7CEEB6CC" w:rsidR="0016553F" w:rsidRPr="0016553F" w:rsidRDefault="0016553F" w:rsidP="0016553F">
      <w:pPr>
        <w:pStyle w:val="ListNumber"/>
        <w:numPr>
          <w:ilvl w:val="0"/>
          <w:numId w:val="15"/>
        </w:numPr>
        <w:rPr>
          <w:rFonts w:ascii="Arial" w:hAnsi="Arial" w:cs="Arial"/>
        </w:rPr>
      </w:pPr>
      <w:r w:rsidRPr="0016553F">
        <w:rPr>
          <w:rFonts w:ascii="Arial" w:hAnsi="Arial" w:cs="Arial"/>
        </w:rPr>
        <w:t>an improvement or expansion of an existing facility.</w:t>
      </w:r>
    </w:p>
    <w:p w14:paraId="32039921" w14:textId="77777777" w:rsidR="000767BA" w:rsidRPr="000767BA" w:rsidRDefault="000767BA" w:rsidP="000767BA">
      <w:pPr>
        <w:pStyle w:val="ListNumber"/>
        <w:rPr>
          <w:rFonts w:ascii="Arial" w:hAnsi="Arial" w:cs="Arial"/>
        </w:rPr>
      </w:pPr>
      <w:r w:rsidRPr="000767BA">
        <w:rPr>
          <w:rFonts w:ascii="Arial" w:hAnsi="Arial" w:cs="Arial"/>
        </w:rPr>
        <w:lastRenderedPageBreak/>
        <w:t xml:space="preserve">Applications must relate to a proposed project that is expected to be economically viable over its operational life. </w:t>
      </w:r>
    </w:p>
    <w:p w14:paraId="515AE9DF" w14:textId="19F2DF5B" w:rsidR="000767BA" w:rsidRPr="000767BA" w:rsidRDefault="000767BA" w:rsidP="000767BA">
      <w:pPr>
        <w:pStyle w:val="ListNumber"/>
        <w:rPr>
          <w:rFonts w:ascii="Arial" w:hAnsi="Arial" w:cs="Arial"/>
        </w:rPr>
      </w:pPr>
      <w:r w:rsidRPr="000767BA">
        <w:rPr>
          <w:rFonts w:ascii="Arial" w:hAnsi="Arial" w:cs="Arial"/>
        </w:rPr>
        <w:t xml:space="preserve">Applications must relate to a project(s) that has not </w:t>
      </w:r>
      <w:proofErr w:type="gramStart"/>
      <w:r w:rsidRPr="000767BA">
        <w:rPr>
          <w:rFonts w:ascii="Arial" w:hAnsi="Arial" w:cs="Arial"/>
        </w:rPr>
        <w:t>commenced, and</w:t>
      </w:r>
      <w:proofErr w:type="gramEnd"/>
      <w:r w:rsidRPr="000767BA">
        <w:rPr>
          <w:rFonts w:ascii="Arial" w:hAnsi="Arial" w:cs="Arial"/>
        </w:rPr>
        <w:t xml:space="preserve"> will be commissioned and operational by 30 June 2025.</w:t>
      </w:r>
    </w:p>
    <w:p w14:paraId="2192E751" w14:textId="77777777" w:rsidR="000767BA" w:rsidRPr="000767BA" w:rsidRDefault="000767BA" w:rsidP="000767BA">
      <w:pPr>
        <w:pStyle w:val="ListNumber"/>
        <w:rPr>
          <w:rFonts w:ascii="Arial" w:hAnsi="Arial" w:cs="Arial"/>
        </w:rPr>
      </w:pPr>
      <w:r w:rsidRPr="000767BA">
        <w:rPr>
          <w:rFonts w:ascii="Arial" w:hAnsi="Arial" w:cs="Arial"/>
        </w:rPr>
        <w:t>Applicants must:</w:t>
      </w:r>
    </w:p>
    <w:p w14:paraId="4FCF8A94" w14:textId="77777777" w:rsidR="000767BA" w:rsidRPr="000767BA" w:rsidRDefault="000767BA" w:rsidP="000767BA">
      <w:pPr>
        <w:pStyle w:val="ListNumber"/>
        <w:numPr>
          <w:ilvl w:val="0"/>
          <w:numId w:val="15"/>
        </w:numPr>
        <w:rPr>
          <w:rFonts w:ascii="Arial" w:hAnsi="Arial" w:cs="Arial"/>
        </w:rPr>
      </w:pPr>
      <w:r w:rsidRPr="000767BA">
        <w:rPr>
          <w:rFonts w:ascii="Arial" w:hAnsi="Arial" w:cs="Arial"/>
        </w:rPr>
        <w:t xml:space="preserve">have a current Australian Business Number (ABN), </w:t>
      </w:r>
    </w:p>
    <w:p w14:paraId="2DEE9129" w14:textId="77777777" w:rsidR="000767BA" w:rsidRPr="000767BA" w:rsidRDefault="000767BA" w:rsidP="000767BA">
      <w:pPr>
        <w:pStyle w:val="ListNumber"/>
        <w:numPr>
          <w:ilvl w:val="0"/>
          <w:numId w:val="15"/>
        </w:numPr>
        <w:rPr>
          <w:rFonts w:ascii="Arial" w:hAnsi="Arial" w:cs="Arial"/>
        </w:rPr>
      </w:pPr>
      <w:r w:rsidRPr="000767BA">
        <w:rPr>
          <w:rFonts w:ascii="Arial" w:hAnsi="Arial" w:cs="Arial"/>
        </w:rPr>
        <w:t xml:space="preserve">be registered for GST, </w:t>
      </w:r>
    </w:p>
    <w:p w14:paraId="2375F2B4" w14:textId="39127928" w:rsidR="000767BA" w:rsidRPr="000767BA" w:rsidRDefault="000767BA" w:rsidP="000767BA">
      <w:pPr>
        <w:pStyle w:val="ListNumber"/>
        <w:numPr>
          <w:ilvl w:val="0"/>
          <w:numId w:val="15"/>
        </w:numPr>
        <w:rPr>
          <w:rFonts w:ascii="Arial" w:hAnsi="Arial" w:cs="Arial"/>
        </w:rPr>
      </w:pPr>
      <w:r w:rsidRPr="000767BA">
        <w:rPr>
          <w:rFonts w:ascii="Arial" w:hAnsi="Arial" w:cs="Arial"/>
        </w:rPr>
        <w:t>not be insolvent and do not have owners/directors who are an undischarged bankrupt.</w:t>
      </w:r>
    </w:p>
    <w:p w14:paraId="3CAFBDD5" w14:textId="0372162E" w:rsidR="001D3D66" w:rsidRPr="001D3D66" w:rsidRDefault="001D3D66" w:rsidP="001D3D66">
      <w:pPr>
        <w:pStyle w:val="ListNumber"/>
        <w:numPr>
          <w:ilvl w:val="0"/>
          <w:numId w:val="0"/>
        </w:numPr>
        <w:ind w:left="425" w:hanging="425"/>
        <w:rPr>
          <w:rFonts w:ascii="Arial" w:hAnsi="Arial" w:cs="Arial"/>
        </w:rPr>
      </w:pPr>
      <w:r w:rsidRPr="001D3D66">
        <w:rPr>
          <w:rFonts w:ascii="Arial" w:hAnsi="Arial" w:cs="Arial"/>
        </w:rPr>
        <w:t xml:space="preserve">What will </w:t>
      </w:r>
      <w:r w:rsidRPr="001D3D66">
        <w:rPr>
          <w:rFonts w:ascii="Arial" w:hAnsi="Arial" w:cs="Arial"/>
          <w:b/>
        </w:rPr>
        <w:t>not</w:t>
      </w:r>
      <w:r w:rsidRPr="001D3D66">
        <w:rPr>
          <w:rFonts w:ascii="Arial" w:hAnsi="Arial" w:cs="Arial"/>
        </w:rPr>
        <w:t xml:space="preserve"> be funded:</w:t>
      </w:r>
    </w:p>
    <w:p w14:paraId="65831ED3" w14:textId="3969F5E8" w:rsidR="001D3D66" w:rsidRPr="001D3D66" w:rsidRDefault="001D3D66" w:rsidP="001D3D66">
      <w:pPr>
        <w:pStyle w:val="ListNumber"/>
        <w:numPr>
          <w:ilvl w:val="0"/>
          <w:numId w:val="20"/>
        </w:numPr>
        <w:rPr>
          <w:rFonts w:ascii="Arial" w:hAnsi="Arial" w:cs="Arial"/>
        </w:rPr>
      </w:pPr>
      <w:r w:rsidRPr="001D3D66">
        <w:rPr>
          <w:rFonts w:ascii="Arial" w:hAnsi="Arial" w:cs="Arial"/>
        </w:rPr>
        <w:t>Projects that:</w:t>
      </w:r>
    </w:p>
    <w:p w14:paraId="724281C8" w14:textId="0006953D" w:rsidR="001D3D66" w:rsidRPr="001D3D66" w:rsidRDefault="001D3D66" w:rsidP="001D3D66">
      <w:pPr>
        <w:pStyle w:val="ListNumber"/>
        <w:numPr>
          <w:ilvl w:val="0"/>
          <w:numId w:val="21"/>
        </w:numPr>
        <w:rPr>
          <w:rFonts w:ascii="Arial" w:hAnsi="Arial" w:cs="Arial"/>
        </w:rPr>
      </w:pPr>
      <w:r w:rsidRPr="001D3D66">
        <w:rPr>
          <w:rFonts w:ascii="Arial" w:hAnsi="Arial" w:cs="Arial"/>
        </w:rPr>
        <w:t xml:space="preserve">do not meet the eligibility criteria of the </w:t>
      </w:r>
      <w:r>
        <w:rPr>
          <w:rFonts w:ascii="Arial" w:hAnsi="Arial" w:cs="Arial"/>
        </w:rPr>
        <w:t xml:space="preserve">Food Waste for Healthy Soils </w:t>
      </w:r>
      <w:r w:rsidRPr="001D3D66">
        <w:rPr>
          <w:rFonts w:ascii="Arial" w:hAnsi="Arial" w:cs="Arial"/>
        </w:rPr>
        <w:t>Fund</w:t>
      </w:r>
    </w:p>
    <w:p w14:paraId="7C79BC88" w14:textId="73BBEC16" w:rsidR="001D3D66" w:rsidRPr="001D3D66" w:rsidRDefault="001D3D66" w:rsidP="001D3D66">
      <w:pPr>
        <w:pStyle w:val="ListNumber"/>
        <w:numPr>
          <w:ilvl w:val="0"/>
          <w:numId w:val="21"/>
        </w:numPr>
        <w:rPr>
          <w:rFonts w:ascii="Arial" w:hAnsi="Arial" w:cs="Arial"/>
        </w:rPr>
      </w:pPr>
      <w:r w:rsidRPr="001D3D66">
        <w:rPr>
          <w:rFonts w:ascii="Arial" w:hAnsi="Arial" w:cs="Arial"/>
        </w:rPr>
        <w:t>have outcomes that are not directly attributable to the desired outcomes of the funding, such as:</w:t>
      </w:r>
    </w:p>
    <w:p w14:paraId="65429661" w14:textId="0A5B1FFD" w:rsidR="001D3D66" w:rsidRPr="001D3D66" w:rsidRDefault="001D3D66" w:rsidP="001D3D66">
      <w:pPr>
        <w:pStyle w:val="ListNumber"/>
        <w:numPr>
          <w:ilvl w:val="0"/>
          <w:numId w:val="22"/>
        </w:numPr>
        <w:rPr>
          <w:rFonts w:ascii="Arial" w:hAnsi="Arial" w:cs="Arial"/>
        </w:rPr>
      </w:pPr>
      <w:r w:rsidRPr="001D3D66">
        <w:rPr>
          <w:rFonts w:ascii="Arial" w:hAnsi="Arial" w:cs="Arial"/>
        </w:rPr>
        <w:t>Mixed Waste Organic Outputs (MWOO) facilities</w:t>
      </w:r>
    </w:p>
    <w:p w14:paraId="468FF382" w14:textId="0468AF94" w:rsidR="001D3D66" w:rsidRPr="001D3D66" w:rsidRDefault="001D3D66" w:rsidP="001D3D66">
      <w:pPr>
        <w:pStyle w:val="ListNumber"/>
        <w:numPr>
          <w:ilvl w:val="0"/>
          <w:numId w:val="22"/>
        </w:numPr>
        <w:rPr>
          <w:rFonts w:ascii="Arial" w:hAnsi="Arial" w:cs="Arial"/>
        </w:rPr>
      </w:pPr>
      <w:r w:rsidRPr="001D3D66">
        <w:rPr>
          <w:rFonts w:ascii="Arial" w:hAnsi="Arial" w:cs="Arial"/>
        </w:rPr>
        <w:t>Mechanical Biological treatment (MBT) facilities</w:t>
      </w:r>
    </w:p>
    <w:p w14:paraId="1B7DAE20" w14:textId="456E5BA6" w:rsidR="001D3D66" w:rsidRPr="001D3D66" w:rsidRDefault="001D3D66" w:rsidP="001D3D66">
      <w:pPr>
        <w:pStyle w:val="ListNumber"/>
        <w:numPr>
          <w:ilvl w:val="0"/>
          <w:numId w:val="22"/>
        </w:numPr>
        <w:rPr>
          <w:rFonts w:ascii="Arial" w:hAnsi="Arial" w:cs="Arial"/>
        </w:rPr>
      </w:pPr>
      <w:r w:rsidRPr="001D3D66">
        <w:rPr>
          <w:rFonts w:ascii="Arial" w:hAnsi="Arial" w:cs="Arial"/>
        </w:rPr>
        <w:t>infrastructure to facilitate the collection and redistribution of edible food waste to food rescue charities</w:t>
      </w:r>
    </w:p>
    <w:p w14:paraId="3F8DCAAE" w14:textId="73B2FC8D" w:rsidR="001D3D66" w:rsidRPr="00C76810" w:rsidRDefault="001D3D66" w:rsidP="001D3D66">
      <w:pPr>
        <w:pStyle w:val="ListNumber"/>
        <w:numPr>
          <w:ilvl w:val="0"/>
          <w:numId w:val="22"/>
        </w:numPr>
        <w:rPr>
          <w:rFonts w:ascii="Arial" w:hAnsi="Arial" w:cs="Arial"/>
        </w:rPr>
      </w:pPr>
      <w:r w:rsidRPr="001D3D66">
        <w:rPr>
          <w:rFonts w:ascii="Arial" w:hAnsi="Arial" w:cs="Arial"/>
        </w:rPr>
        <w:t xml:space="preserve">food waste disposal such as </w:t>
      </w:r>
      <w:proofErr w:type="spellStart"/>
      <w:r w:rsidRPr="001D3D66">
        <w:rPr>
          <w:rFonts w:ascii="Arial" w:hAnsi="Arial" w:cs="Arial"/>
        </w:rPr>
        <w:t>insinkerators</w:t>
      </w:r>
      <w:proofErr w:type="spellEnd"/>
      <w:r w:rsidRPr="001D3D66">
        <w:rPr>
          <w:rFonts w:ascii="Arial" w:hAnsi="Arial" w:cs="Arial"/>
        </w:rPr>
        <w:t>, macerators</w:t>
      </w:r>
      <w:r w:rsidRPr="00C76810">
        <w:rPr>
          <w:rFonts w:ascii="Arial" w:hAnsi="Arial" w:cs="Arial"/>
        </w:rPr>
        <w:t>, food dehydrators</w:t>
      </w:r>
    </w:p>
    <w:p w14:paraId="3DA552DF" w14:textId="035C8A0C" w:rsidR="001D3D66" w:rsidRPr="001D3D66" w:rsidRDefault="001D3D66" w:rsidP="001D3D66">
      <w:pPr>
        <w:pStyle w:val="ListNumber"/>
        <w:numPr>
          <w:ilvl w:val="0"/>
          <w:numId w:val="22"/>
        </w:numPr>
        <w:rPr>
          <w:rFonts w:ascii="Arial" w:hAnsi="Arial" w:cs="Arial"/>
        </w:rPr>
      </w:pPr>
      <w:r w:rsidRPr="001D3D66">
        <w:rPr>
          <w:rFonts w:ascii="Arial" w:hAnsi="Arial" w:cs="Arial"/>
        </w:rPr>
        <w:t xml:space="preserve">extending capacity for receipt of waste, for example: FOGO collection and transport infrastructure, such as gate fees, kitchen caddies and bags/bin liners, </w:t>
      </w:r>
      <w:proofErr w:type="gramStart"/>
      <w:r w:rsidRPr="001D3D66">
        <w:rPr>
          <w:rFonts w:ascii="Arial" w:hAnsi="Arial" w:cs="Arial"/>
        </w:rPr>
        <w:t>bins</w:t>
      </w:r>
      <w:proofErr w:type="gramEnd"/>
      <w:r w:rsidRPr="001D3D66">
        <w:rPr>
          <w:rFonts w:ascii="Arial" w:hAnsi="Arial" w:cs="Arial"/>
        </w:rPr>
        <w:t xml:space="preserve"> and vehicles</w:t>
      </w:r>
    </w:p>
    <w:p w14:paraId="16F1073F" w14:textId="3E8375F2" w:rsidR="001D3D66" w:rsidRPr="001D3D66" w:rsidRDefault="001D3D66" w:rsidP="001D3D66">
      <w:pPr>
        <w:pStyle w:val="ListNumber"/>
        <w:numPr>
          <w:ilvl w:val="0"/>
          <w:numId w:val="21"/>
        </w:numPr>
        <w:rPr>
          <w:rFonts w:ascii="Arial" w:hAnsi="Arial" w:cs="Arial"/>
        </w:rPr>
      </w:pPr>
      <w:r w:rsidRPr="001D3D66">
        <w:rPr>
          <w:rFonts w:ascii="Arial" w:hAnsi="Arial" w:cs="Arial"/>
        </w:rPr>
        <w:t xml:space="preserve">do not clearly demonstrate a need for Government support. </w:t>
      </w:r>
    </w:p>
    <w:p w14:paraId="193CD789" w14:textId="37AFC923" w:rsidR="001D3D66" w:rsidRDefault="001D3D66" w:rsidP="001D3D66">
      <w:pPr>
        <w:pStyle w:val="ListNumber"/>
        <w:numPr>
          <w:ilvl w:val="0"/>
          <w:numId w:val="20"/>
        </w:numPr>
        <w:rPr>
          <w:rFonts w:ascii="Arial" w:hAnsi="Arial" w:cs="Arial"/>
        </w:rPr>
      </w:pPr>
      <w:r w:rsidRPr="001D3D66">
        <w:rPr>
          <w:rFonts w:ascii="Arial" w:hAnsi="Arial" w:cs="Arial"/>
        </w:rPr>
        <w:t>Applicants (including other project participants, being industry partners or major subcontractors) who:</w:t>
      </w:r>
    </w:p>
    <w:p w14:paraId="0095E2FF" w14:textId="156F9430" w:rsidR="001D3D66" w:rsidRPr="001D3D66" w:rsidRDefault="001D3D66" w:rsidP="001D3D66">
      <w:pPr>
        <w:pStyle w:val="ListNumber"/>
        <w:numPr>
          <w:ilvl w:val="0"/>
          <w:numId w:val="21"/>
        </w:numPr>
        <w:rPr>
          <w:rFonts w:ascii="Arial" w:hAnsi="Arial" w:cs="Arial"/>
        </w:rPr>
      </w:pPr>
      <w:r w:rsidRPr="001D3D66">
        <w:rPr>
          <w:rFonts w:ascii="Arial" w:hAnsi="Arial" w:cs="Arial"/>
        </w:rPr>
        <w:t>have failed to adequately address an environmental or safety breach or cannot demonstrate they are working effectively to resolve the breach</w:t>
      </w:r>
    </w:p>
    <w:p w14:paraId="11320C48" w14:textId="051596B6" w:rsidR="001D3D66" w:rsidRPr="001D3D66" w:rsidRDefault="001D3D66" w:rsidP="001D3D66">
      <w:pPr>
        <w:pStyle w:val="ListNumber"/>
        <w:numPr>
          <w:ilvl w:val="0"/>
          <w:numId w:val="21"/>
        </w:numPr>
        <w:rPr>
          <w:rFonts w:ascii="Arial" w:hAnsi="Arial" w:cs="Arial"/>
        </w:rPr>
      </w:pPr>
      <w:r w:rsidRPr="001D3D66">
        <w:rPr>
          <w:rFonts w:ascii="Arial" w:hAnsi="Arial" w:cs="Arial"/>
        </w:rPr>
        <w:t>are subject to current industrial relations investigation or prosecution</w:t>
      </w:r>
    </w:p>
    <w:p w14:paraId="01CF163F" w14:textId="2B4A2CCD" w:rsidR="001D3D66" w:rsidRPr="0095309D" w:rsidRDefault="001D3D66" w:rsidP="001D3D66">
      <w:pPr>
        <w:pStyle w:val="ListNumber"/>
        <w:numPr>
          <w:ilvl w:val="0"/>
          <w:numId w:val="21"/>
        </w:numPr>
        <w:rPr>
          <w:rFonts w:ascii="Arial" w:hAnsi="Arial" w:cs="Arial"/>
        </w:rPr>
      </w:pPr>
      <w:r w:rsidRPr="001D3D66">
        <w:rPr>
          <w:rFonts w:ascii="Arial" w:hAnsi="Arial" w:cs="Arial"/>
        </w:rPr>
        <w:t>have failed to satisfactorily progress or com</w:t>
      </w:r>
      <w:r w:rsidRPr="0095309D">
        <w:rPr>
          <w:rFonts w:ascii="Arial" w:hAnsi="Arial" w:cs="Arial"/>
        </w:rPr>
        <w:t xml:space="preserve">plete previous projects funded by </w:t>
      </w:r>
      <w:r w:rsidR="009852C9" w:rsidRPr="0095309D">
        <w:rPr>
          <w:rFonts w:ascii="Arial" w:hAnsi="Arial" w:cs="Arial"/>
        </w:rPr>
        <w:t>Green Industries SA or other government agencies</w:t>
      </w:r>
      <w:r w:rsidRPr="0095309D">
        <w:rPr>
          <w:rFonts w:ascii="Arial" w:hAnsi="Arial" w:cs="Arial"/>
        </w:rPr>
        <w:t xml:space="preserve"> within funding program timelines and without sufficient reason.</w:t>
      </w:r>
    </w:p>
    <w:p w14:paraId="6FE37AF0" w14:textId="5914B00D" w:rsidR="00064973" w:rsidRPr="0095309D" w:rsidRDefault="009852C9" w:rsidP="009852C9">
      <w:pPr>
        <w:pStyle w:val="ListNumber"/>
        <w:rPr>
          <w:rFonts w:ascii="Arial" w:hAnsi="Arial" w:cs="Arial"/>
        </w:rPr>
      </w:pPr>
      <w:r w:rsidRPr="0095309D">
        <w:rPr>
          <w:rFonts w:ascii="Arial" w:hAnsi="Arial" w:cs="Arial"/>
        </w:rPr>
        <w:t>The following costs are ineligible for matched funding contributions</w:t>
      </w:r>
      <w:r w:rsidR="00064973" w:rsidRPr="0095309D">
        <w:rPr>
          <w:rFonts w:ascii="Arial" w:hAnsi="Arial" w:cs="Arial"/>
        </w:rPr>
        <w:t xml:space="preserve">: </w:t>
      </w:r>
    </w:p>
    <w:p w14:paraId="09B2BE37" w14:textId="6C989A89" w:rsidR="009852C9" w:rsidRPr="0095309D" w:rsidRDefault="009852C9" w:rsidP="009852C9">
      <w:pPr>
        <w:pStyle w:val="ListNumber"/>
        <w:numPr>
          <w:ilvl w:val="0"/>
          <w:numId w:val="21"/>
        </w:numPr>
        <w:rPr>
          <w:rFonts w:ascii="Arial" w:hAnsi="Arial" w:cs="Arial"/>
        </w:rPr>
      </w:pPr>
      <w:r w:rsidRPr="0095309D">
        <w:rPr>
          <w:rFonts w:ascii="Arial" w:hAnsi="Arial" w:cs="Arial"/>
        </w:rPr>
        <w:t>in-kind contributions</w:t>
      </w:r>
    </w:p>
    <w:p w14:paraId="2E645E0A" w14:textId="77777777" w:rsidR="009852C9" w:rsidRPr="0095309D" w:rsidRDefault="009852C9" w:rsidP="009852C9">
      <w:pPr>
        <w:pStyle w:val="ListNumber"/>
        <w:numPr>
          <w:ilvl w:val="0"/>
          <w:numId w:val="21"/>
        </w:numPr>
        <w:rPr>
          <w:rFonts w:ascii="Arial" w:hAnsi="Arial" w:cs="Arial"/>
        </w:rPr>
      </w:pPr>
      <w:r w:rsidRPr="0095309D">
        <w:rPr>
          <w:rFonts w:ascii="Arial" w:hAnsi="Arial" w:cs="Arial"/>
        </w:rPr>
        <w:t>purchase of land</w:t>
      </w:r>
    </w:p>
    <w:p w14:paraId="7A4E7652" w14:textId="2F1E0FA4" w:rsidR="009852C9" w:rsidRPr="0095309D" w:rsidRDefault="009852C9" w:rsidP="009852C9">
      <w:pPr>
        <w:pStyle w:val="ListNumber"/>
        <w:numPr>
          <w:ilvl w:val="0"/>
          <w:numId w:val="21"/>
        </w:numPr>
        <w:rPr>
          <w:rFonts w:ascii="Arial" w:hAnsi="Arial" w:cs="Arial"/>
        </w:rPr>
      </w:pPr>
      <w:r w:rsidRPr="0095309D">
        <w:rPr>
          <w:rFonts w:ascii="Arial" w:hAnsi="Arial" w:cs="Arial"/>
        </w:rPr>
        <w:t>permit, licencing and approval costs</w:t>
      </w:r>
    </w:p>
    <w:p w14:paraId="5B78846A" w14:textId="63D7BE79" w:rsidR="009852C9" w:rsidRPr="0095309D" w:rsidRDefault="009852C9" w:rsidP="009852C9">
      <w:pPr>
        <w:pStyle w:val="ListNumber"/>
        <w:numPr>
          <w:ilvl w:val="0"/>
          <w:numId w:val="21"/>
        </w:numPr>
        <w:rPr>
          <w:rFonts w:ascii="Arial" w:hAnsi="Arial" w:cs="Arial"/>
        </w:rPr>
      </w:pPr>
      <w:r w:rsidRPr="0095309D">
        <w:rPr>
          <w:rFonts w:ascii="Arial" w:hAnsi="Arial" w:cs="Arial"/>
        </w:rPr>
        <w:t>routine or cyclical maintenance works</w:t>
      </w:r>
    </w:p>
    <w:p w14:paraId="397CCE18" w14:textId="00A8A621" w:rsidR="009852C9" w:rsidRPr="0095309D" w:rsidRDefault="009852C9" w:rsidP="009852C9">
      <w:pPr>
        <w:pStyle w:val="ListNumber"/>
        <w:numPr>
          <w:ilvl w:val="0"/>
          <w:numId w:val="21"/>
        </w:numPr>
        <w:rPr>
          <w:rFonts w:ascii="Arial" w:hAnsi="Arial" w:cs="Arial"/>
        </w:rPr>
      </w:pPr>
      <w:r w:rsidRPr="0095309D">
        <w:rPr>
          <w:rFonts w:ascii="Arial" w:hAnsi="Arial" w:cs="Arial"/>
        </w:rPr>
        <w:lastRenderedPageBreak/>
        <w:t xml:space="preserve">ongoing operational costs such as, but not limited to, salaries, electricity, </w:t>
      </w:r>
      <w:proofErr w:type="gramStart"/>
      <w:r w:rsidRPr="0095309D">
        <w:rPr>
          <w:rFonts w:ascii="Arial" w:hAnsi="Arial" w:cs="Arial"/>
        </w:rPr>
        <w:t>water</w:t>
      </w:r>
      <w:proofErr w:type="gramEnd"/>
      <w:r w:rsidRPr="0095309D">
        <w:rPr>
          <w:rFonts w:ascii="Arial" w:hAnsi="Arial" w:cs="Arial"/>
        </w:rPr>
        <w:t xml:space="preserve"> and other utilities</w:t>
      </w:r>
    </w:p>
    <w:p w14:paraId="13041E1F" w14:textId="3D62FE86" w:rsidR="009852C9" w:rsidRPr="0095309D" w:rsidRDefault="009852C9" w:rsidP="009852C9">
      <w:pPr>
        <w:pStyle w:val="ListNumber"/>
        <w:numPr>
          <w:ilvl w:val="0"/>
          <w:numId w:val="21"/>
        </w:numPr>
        <w:rPr>
          <w:rFonts w:ascii="Arial" w:hAnsi="Arial" w:cs="Arial"/>
        </w:rPr>
      </w:pPr>
      <w:r w:rsidRPr="0095309D">
        <w:rPr>
          <w:rFonts w:ascii="Arial" w:hAnsi="Arial" w:cs="Arial"/>
        </w:rPr>
        <w:t>leasing of equipment</w:t>
      </w:r>
      <w:r w:rsidR="0091092F">
        <w:rPr>
          <w:rFonts w:ascii="Arial" w:hAnsi="Arial" w:cs="Arial"/>
        </w:rPr>
        <w:t xml:space="preserve"> - </w:t>
      </w:r>
      <w:r w:rsidR="0091092F" w:rsidRPr="0091092F">
        <w:rPr>
          <w:rFonts w:ascii="Arial" w:hAnsi="Arial" w:cs="Arial"/>
        </w:rPr>
        <w:t>equipment must be purchased outright</w:t>
      </w:r>
    </w:p>
    <w:p w14:paraId="03FB44AA" w14:textId="6D20EEE1" w:rsidR="009852C9" w:rsidRPr="0095309D" w:rsidRDefault="009852C9" w:rsidP="009852C9">
      <w:pPr>
        <w:pStyle w:val="ListNumber"/>
        <w:numPr>
          <w:ilvl w:val="0"/>
          <w:numId w:val="21"/>
        </w:numPr>
        <w:rPr>
          <w:rFonts w:ascii="Arial" w:hAnsi="Arial" w:cs="Arial"/>
        </w:rPr>
      </w:pPr>
      <w:r w:rsidRPr="0095309D">
        <w:rPr>
          <w:rFonts w:ascii="Arial" w:hAnsi="Arial" w:cs="Arial"/>
        </w:rPr>
        <w:t>costs of equipment not dedicated to the project purpose</w:t>
      </w:r>
    </w:p>
    <w:p w14:paraId="5985EE58" w14:textId="790CDD81" w:rsidR="009852C9" w:rsidRPr="0095309D" w:rsidRDefault="009852C9" w:rsidP="009852C9">
      <w:pPr>
        <w:pStyle w:val="ListNumber"/>
        <w:numPr>
          <w:ilvl w:val="0"/>
          <w:numId w:val="21"/>
        </w:numPr>
        <w:rPr>
          <w:rFonts w:ascii="Arial" w:hAnsi="Arial" w:cs="Arial"/>
        </w:rPr>
      </w:pPr>
      <w:r w:rsidRPr="0095309D">
        <w:rPr>
          <w:rFonts w:ascii="Arial" w:hAnsi="Arial" w:cs="Arial"/>
        </w:rPr>
        <w:t xml:space="preserve">pre-construction (site preparation) activities such as site clearing, </w:t>
      </w:r>
      <w:proofErr w:type="gramStart"/>
      <w:r w:rsidRPr="0095309D">
        <w:rPr>
          <w:rFonts w:ascii="Arial" w:hAnsi="Arial" w:cs="Arial"/>
        </w:rPr>
        <w:t>earthworks</w:t>
      </w:r>
      <w:proofErr w:type="gramEnd"/>
      <w:r w:rsidRPr="0095309D">
        <w:rPr>
          <w:rFonts w:ascii="Arial" w:hAnsi="Arial" w:cs="Arial"/>
        </w:rPr>
        <w:t xml:space="preserve"> or site</w:t>
      </w:r>
    </w:p>
    <w:p w14:paraId="021595D7" w14:textId="77777777" w:rsidR="009852C9" w:rsidRPr="0095309D" w:rsidRDefault="009852C9" w:rsidP="001F63C9">
      <w:pPr>
        <w:pStyle w:val="ListNumber"/>
        <w:numPr>
          <w:ilvl w:val="0"/>
          <w:numId w:val="0"/>
        </w:numPr>
        <w:ind w:left="850"/>
        <w:rPr>
          <w:rFonts w:ascii="Arial" w:hAnsi="Arial" w:cs="Arial"/>
        </w:rPr>
      </w:pPr>
      <w:r w:rsidRPr="0095309D">
        <w:rPr>
          <w:rFonts w:ascii="Arial" w:hAnsi="Arial" w:cs="Arial"/>
        </w:rPr>
        <w:t>accessibility works</w:t>
      </w:r>
    </w:p>
    <w:p w14:paraId="112213DA" w14:textId="2E757218" w:rsidR="009852C9" w:rsidRPr="0095309D" w:rsidRDefault="009852C9" w:rsidP="009852C9">
      <w:pPr>
        <w:pStyle w:val="ListNumber"/>
        <w:numPr>
          <w:ilvl w:val="0"/>
          <w:numId w:val="21"/>
        </w:numPr>
        <w:rPr>
          <w:rFonts w:ascii="Arial" w:hAnsi="Arial" w:cs="Arial"/>
        </w:rPr>
      </w:pPr>
      <w:r w:rsidRPr="0095309D">
        <w:rPr>
          <w:rFonts w:ascii="Arial" w:hAnsi="Arial" w:cs="Arial"/>
        </w:rPr>
        <w:t xml:space="preserve">the repair of facilities damaged by vandalism, </w:t>
      </w:r>
      <w:proofErr w:type="gramStart"/>
      <w:r w:rsidRPr="0095309D">
        <w:rPr>
          <w:rFonts w:ascii="Arial" w:hAnsi="Arial" w:cs="Arial"/>
        </w:rPr>
        <w:t>fire</w:t>
      </w:r>
      <w:proofErr w:type="gramEnd"/>
      <w:r w:rsidRPr="0095309D">
        <w:rPr>
          <w:rFonts w:ascii="Arial" w:hAnsi="Arial" w:cs="Arial"/>
        </w:rPr>
        <w:t xml:space="preserve"> or other natural disasters where the damage should be covered by insurance</w:t>
      </w:r>
    </w:p>
    <w:p w14:paraId="282BC36B" w14:textId="77777777" w:rsidR="009852C9" w:rsidRPr="0095309D" w:rsidRDefault="009852C9" w:rsidP="009852C9">
      <w:pPr>
        <w:pStyle w:val="ListNumber"/>
        <w:numPr>
          <w:ilvl w:val="0"/>
          <w:numId w:val="21"/>
        </w:numPr>
        <w:rPr>
          <w:rFonts w:ascii="Arial" w:hAnsi="Arial" w:cs="Arial"/>
        </w:rPr>
      </w:pPr>
      <w:r w:rsidRPr="0095309D">
        <w:rPr>
          <w:rFonts w:ascii="Arial" w:hAnsi="Arial" w:cs="Arial"/>
        </w:rPr>
        <w:t xml:space="preserve">business case development </w:t>
      </w:r>
    </w:p>
    <w:p w14:paraId="63605542" w14:textId="31F4AFAC" w:rsidR="009852C9" w:rsidRDefault="009852C9" w:rsidP="009852C9">
      <w:pPr>
        <w:pStyle w:val="ListNumber"/>
        <w:numPr>
          <w:ilvl w:val="0"/>
          <w:numId w:val="21"/>
        </w:numPr>
        <w:rPr>
          <w:rFonts w:ascii="Arial" w:hAnsi="Arial" w:cs="Arial"/>
        </w:rPr>
      </w:pPr>
      <w:r w:rsidRPr="0095309D">
        <w:rPr>
          <w:rFonts w:ascii="Arial" w:hAnsi="Arial" w:cs="Arial"/>
        </w:rPr>
        <w:t>feasibility studies</w:t>
      </w:r>
    </w:p>
    <w:p w14:paraId="61E9E9E1" w14:textId="65BE46FC" w:rsidR="0091092F" w:rsidRDefault="0091092F" w:rsidP="009852C9">
      <w:pPr>
        <w:pStyle w:val="ListNumber"/>
        <w:numPr>
          <w:ilvl w:val="0"/>
          <w:numId w:val="21"/>
        </w:numPr>
        <w:rPr>
          <w:rFonts w:ascii="Arial" w:hAnsi="Arial" w:cs="Arial"/>
        </w:rPr>
      </w:pPr>
      <w:r w:rsidRPr="0091092F">
        <w:rPr>
          <w:rFonts w:ascii="Arial" w:hAnsi="Arial" w:cs="Arial"/>
        </w:rPr>
        <w:t>Salaries, studies, investigations or research and development activities</w:t>
      </w:r>
    </w:p>
    <w:p w14:paraId="76DADA33" w14:textId="3FDEAE55" w:rsidR="0091092F" w:rsidRPr="0095309D" w:rsidRDefault="0091092F" w:rsidP="009852C9">
      <w:pPr>
        <w:pStyle w:val="ListNumber"/>
        <w:numPr>
          <w:ilvl w:val="0"/>
          <w:numId w:val="21"/>
        </w:numPr>
        <w:rPr>
          <w:rFonts w:ascii="Arial" w:hAnsi="Arial" w:cs="Arial"/>
        </w:rPr>
      </w:pPr>
      <w:r>
        <w:rPr>
          <w:rFonts w:ascii="Arial" w:hAnsi="Arial" w:cs="Arial"/>
        </w:rPr>
        <w:t>Education and training programs</w:t>
      </w:r>
    </w:p>
    <w:p w14:paraId="57ED9B92" w14:textId="2F2648E2" w:rsidR="009852C9" w:rsidRDefault="009852C9" w:rsidP="009852C9">
      <w:pPr>
        <w:pStyle w:val="ListNumber"/>
        <w:numPr>
          <w:ilvl w:val="0"/>
          <w:numId w:val="21"/>
        </w:numPr>
        <w:rPr>
          <w:rFonts w:ascii="Arial" w:hAnsi="Arial" w:cs="Arial"/>
        </w:rPr>
      </w:pPr>
      <w:r w:rsidRPr="0095309D">
        <w:rPr>
          <w:rFonts w:ascii="Arial" w:hAnsi="Arial" w:cs="Arial"/>
        </w:rPr>
        <w:t>contingency costs.</w:t>
      </w:r>
    </w:p>
    <w:p w14:paraId="3EA43218" w14:textId="77777777" w:rsidR="0091092F" w:rsidRPr="0091092F" w:rsidRDefault="0091092F" w:rsidP="0091092F">
      <w:pPr>
        <w:pStyle w:val="Heading1"/>
        <w:rPr>
          <w:rFonts w:ascii="Arial" w:hAnsi="Arial" w:cs="Arial"/>
          <w:sz w:val="32"/>
        </w:rPr>
      </w:pPr>
      <w:r w:rsidRPr="0091092F">
        <w:rPr>
          <w:rFonts w:ascii="Arial" w:hAnsi="Arial" w:cs="Arial"/>
          <w:sz w:val="32"/>
        </w:rPr>
        <w:t>Privacy and commercial-in-confidence considerations</w:t>
      </w:r>
    </w:p>
    <w:p w14:paraId="1F23574D" w14:textId="77777777" w:rsidR="00BA468C" w:rsidRPr="00BA468C" w:rsidRDefault="00BA468C" w:rsidP="00BA468C">
      <w:pPr>
        <w:spacing w:after="120" w:line="276" w:lineRule="auto"/>
        <w:rPr>
          <w:rFonts w:ascii="Arial" w:hAnsi="Arial" w:cs="Arial"/>
        </w:rPr>
      </w:pPr>
      <w:r w:rsidRPr="00BA468C">
        <w:rPr>
          <w:rFonts w:ascii="Arial" w:hAnsi="Arial" w:cs="Arial"/>
        </w:rPr>
        <w:t>All applications will be treated as commercial-in-confidence. Green Industries SA reserves the right to include third party evaluations as part of the assessment process. The South Australian Government and Commonwealth Government have the ultimate discretion in relation to publicity for successful applications. Applicants are not permitted to publicise their projects without the approval in the first instance of Green Industries SA, who will liaise with the Commonwealth Government accordingly.</w:t>
      </w:r>
    </w:p>
    <w:p w14:paraId="1502A0F6" w14:textId="77777777" w:rsidR="0091092F" w:rsidRPr="0091092F" w:rsidRDefault="0091092F" w:rsidP="0091092F">
      <w:pPr>
        <w:pStyle w:val="Heading1"/>
        <w:rPr>
          <w:rFonts w:ascii="Arial" w:hAnsi="Arial" w:cs="Arial"/>
          <w:sz w:val="32"/>
        </w:rPr>
      </w:pPr>
      <w:r w:rsidRPr="0091092F">
        <w:rPr>
          <w:rFonts w:ascii="Arial" w:hAnsi="Arial" w:cs="Arial"/>
          <w:sz w:val="32"/>
        </w:rPr>
        <w:t>Insurance</w:t>
      </w:r>
    </w:p>
    <w:p w14:paraId="447CB1D4" w14:textId="77777777" w:rsidR="0091092F" w:rsidRDefault="0091092F" w:rsidP="0091092F">
      <w:pPr>
        <w:spacing w:after="120" w:line="276" w:lineRule="auto"/>
        <w:rPr>
          <w:rFonts w:ascii="Arial" w:hAnsi="Arial" w:cs="Arial"/>
        </w:rPr>
      </w:pPr>
      <w:r w:rsidRPr="0091092F">
        <w:rPr>
          <w:rFonts w:ascii="Arial" w:hAnsi="Arial" w:cs="Arial"/>
        </w:rPr>
        <w:t>For the duration of the project, the proponent must maintain workers compensation insurance, public liability insurance for a minimum of $10 million per claim and personal accident insurance of $100,000 per participant.</w:t>
      </w:r>
    </w:p>
    <w:p w14:paraId="20C0C18B" w14:textId="77777777" w:rsidR="0091092F" w:rsidRPr="0091092F" w:rsidRDefault="0091092F" w:rsidP="0091092F">
      <w:pPr>
        <w:pStyle w:val="Heading1"/>
        <w:rPr>
          <w:rFonts w:ascii="Arial" w:hAnsi="Arial" w:cs="Arial"/>
          <w:sz w:val="32"/>
        </w:rPr>
      </w:pPr>
      <w:r w:rsidRPr="0091092F">
        <w:rPr>
          <w:rFonts w:ascii="Arial" w:hAnsi="Arial" w:cs="Arial"/>
          <w:sz w:val="32"/>
        </w:rPr>
        <w:t>Funding agreement</w:t>
      </w:r>
    </w:p>
    <w:p w14:paraId="0E2C885F" w14:textId="77777777" w:rsidR="00BA468C" w:rsidRPr="00BA468C" w:rsidRDefault="00BA468C" w:rsidP="00BA468C">
      <w:pPr>
        <w:spacing w:after="120" w:line="276" w:lineRule="auto"/>
        <w:rPr>
          <w:rFonts w:ascii="Arial" w:hAnsi="Arial" w:cs="Arial"/>
          <w:bCs/>
        </w:rPr>
      </w:pPr>
      <w:r w:rsidRPr="00BA468C">
        <w:rPr>
          <w:rFonts w:ascii="Arial" w:hAnsi="Arial" w:cs="Arial"/>
          <w:bCs/>
        </w:rPr>
        <w:t xml:space="preserve">Successful applicants will be required to enter into a funding agreement with the South Australian Government (Green Industries SA). This agreement will set out the terms of the grant, conditions, payment schedules, project timing, key performance indicators, reporting requirements and other matters. </w:t>
      </w:r>
    </w:p>
    <w:p w14:paraId="1F8ABF12" w14:textId="77777777" w:rsidR="00BA468C" w:rsidRPr="00BA468C" w:rsidRDefault="00BA468C" w:rsidP="00BA468C">
      <w:pPr>
        <w:spacing w:after="120" w:line="276" w:lineRule="auto"/>
        <w:rPr>
          <w:rFonts w:ascii="Arial" w:hAnsi="Arial" w:cs="Arial"/>
          <w:bCs/>
        </w:rPr>
      </w:pPr>
      <w:r w:rsidRPr="00BA468C">
        <w:rPr>
          <w:rFonts w:ascii="Arial" w:hAnsi="Arial" w:cs="Arial"/>
        </w:rPr>
        <w:t xml:space="preserve">The South Australian Government and Commonwealth Government must be acknowledged in all media and promotional activities relating to the project. All publicity must be approved in the first instance by Green Industries SA, who will liaise with the Commonwealth Government accordingly. </w:t>
      </w:r>
      <w:r w:rsidRPr="00BA468C">
        <w:rPr>
          <w:rFonts w:ascii="Arial" w:hAnsi="Arial" w:cs="Arial"/>
          <w:bCs/>
        </w:rPr>
        <w:t>A copy of a standard funding agreement can be provided on request.</w:t>
      </w:r>
    </w:p>
    <w:p w14:paraId="6E9A8225" w14:textId="0A0CD10E" w:rsidR="00BA468C" w:rsidRDefault="0091092F" w:rsidP="0091092F">
      <w:pPr>
        <w:spacing w:after="120" w:line="276" w:lineRule="auto"/>
        <w:rPr>
          <w:rFonts w:ascii="Arial" w:hAnsi="Arial" w:cs="Arial"/>
        </w:rPr>
      </w:pPr>
      <w:r w:rsidRPr="0091092F">
        <w:rPr>
          <w:rFonts w:ascii="Arial" w:hAnsi="Arial" w:cs="Arial"/>
        </w:rPr>
        <w:t>The funding agreement must be signed within 30 days of receipt to guarantee the grant acceptance</w:t>
      </w:r>
      <w:r w:rsidR="00BA468C">
        <w:rPr>
          <w:rFonts w:ascii="Arial" w:hAnsi="Arial" w:cs="Arial"/>
        </w:rPr>
        <w:t>.</w:t>
      </w:r>
    </w:p>
    <w:p w14:paraId="05C40962" w14:textId="77777777" w:rsidR="00BA468C" w:rsidRPr="00883EA2" w:rsidRDefault="00BA468C" w:rsidP="00BA468C">
      <w:pPr>
        <w:pStyle w:val="Heading2"/>
        <w:rPr>
          <w:sz w:val="36"/>
          <w:szCs w:val="36"/>
        </w:rPr>
      </w:pPr>
      <w:bookmarkStart w:id="8" w:name="_Toc454959396"/>
      <w:bookmarkStart w:id="9" w:name="_Toc87366111"/>
      <w:r w:rsidRPr="00883EA2">
        <w:rPr>
          <w:sz w:val="36"/>
          <w:szCs w:val="36"/>
        </w:rPr>
        <w:t>Reporting</w:t>
      </w:r>
      <w:bookmarkEnd w:id="8"/>
      <w:bookmarkEnd w:id="9"/>
    </w:p>
    <w:p w14:paraId="76041488" w14:textId="047D2481" w:rsidR="00064973" w:rsidRPr="009852C9" w:rsidRDefault="00BA468C" w:rsidP="00BA468C">
      <w:pPr>
        <w:rPr>
          <w:rFonts w:ascii="Arial" w:hAnsi="Arial" w:cs="Arial"/>
        </w:rPr>
      </w:pPr>
      <w:r w:rsidRPr="00B30025">
        <w:rPr>
          <w:rFonts w:ascii="Arial" w:hAnsi="Arial" w:cs="Arial"/>
          <w:bCs/>
        </w:rPr>
        <w:lastRenderedPageBreak/>
        <w:t xml:space="preserve">Following commissioning of equipment Green Industries SA requires successful applicants to provide reports, usually after six to 12 months, however this will be determined on a </w:t>
      </w:r>
      <w:proofErr w:type="gramStart"/>
      <w:r w:rsidRPr="00B30025">
        <w:rPr>
          <w:rFonts w:ascii="Arial" w:hAnsi="Arial" w:cs="Arial"/>
          <w:bCs/>
        </w:rPr>
        <w:t>case by case</w:t>
      </w:r>
      <w:proofErr w:type="gramEnd"/>
      <w:r w:rsidRPr="00B30025">
        <w:rPr>
          <w:rFonts w:ascii="Arial" w:hAnsi="Arial" w:cs="Arial"/>
          <w:bCs/>
        </w:rPr>
        <w:t xml:space="preserve"> basis and in accordance with Commonwealth Government requirements. Reports will require information on products received for processing and the material types, processing outputs (tonnes), jobs created both during construction and operation. Reporting and payment milestone timelines will be agreed with the applicant before funding is offered and included in funding agreements</w:t>
      </w:r>
      <w:r w:rsidR="0091092F" w:rsidRPr="0091092F">
        <w:rPr>
          <w:rFonts w:ascii="Arial" w:hAnsi="Arial" w:cs="Arial"/>
        </w:rPr>
        <w:t>.</w:t>
      </w:r>
      <w:r w:rsidR="00064973" w:rsidRPr="009852C9">
        <w:rPr>
          <w:rFonts w:ascii="Arial" w:hAnsi="Arial" w:cs="Arial"/>
        </w:rPr>
        <w:br w:type="page"/>
      </w:r>
    </w:p>
    <w:p w14:paraId="15949161" w14:textId="77777777" w:rsidR="00064973" w:rsidRPr="009852C9" w:rsidRDefault="00064973" w:rsidP="00064973">
      <w:pPr>
        <w:pStyle w:val="Heading1"/>
        <w:rPr>
          <w:rFonts w:ascii="Arial" w:hAnsi="Arial" w:cs="Arial"/>
          <w:sz w:val="32"/>
        </w:rPr>
      </w:pPr>
      <w:r w:rsidRPr="009852C9">
        <w:rPr>
          <w:rFonts w:ascii="Arial" w:hAnsi="Arial" w:cs="Arial"/>
          <w:sz w:val="32"/>
        </w:rPr>
        <w:lastRenderedPageBreak/>
        <w:t>Assessment criteria</w:t>
      </w:r>
    </w:p>
    <w:p w14:paraId="7F9A0655" w14:textId="77777777" w:rsidR="00064973" w:rsidRPr="009852C9" w:rsidRDefault="00064973" w:rsidP="00064973">
      <w:pPr>
        <w:rPr>
          <w:rFonts w:ascii="Arial" w:hAnsi="Arial" w:cs="Arial"/>
        </w:rPr>
      </w:pPr>
      <w:r w:rsidRPr="009852C9">
        <w:rPr>
          <w:rFonts w:ascii="Arial" w:hAnsi="Arial" w:cs="Arial"/>
        </w:rPr>
        <w:t>Applications will be assessed with reference to the weighting against each criterion as outlined on the following table.</w:t>
      </w:r>
    </w:p>
    <w:p w14:paraId="633CB491" w14:textId="25449174" w:rsidR="009852C9" w:rsidRPr="00C76810" w:rsidRDefault="009852C9" w:rsidP="00064973">
      <w:pPr>
        <w:rPr>
          <w:rFonts w:ascii="Arial" w:hAnsi="Arial" w:cs="Arial"/>
        </w:rPr>
      </w:pPr>
      <w:r w:rsidRPr="00C76810">
        <w:rPr>
          <w:rFonts w:ascii="Arial" w:hAnsi="Arial" w:cs="Arial"/>
        </w:rPr>
        <w:t xml:space="preserve">Green Industries SA will take into consideration the extent to which the project supports objectives in </w:t>
      </w:r>
      <w:hyperlink r:id="rId13" w:history="1">
        <w:r w:rsidRPr="00C76810">
          <w:rPr>
            <w:rStyle w:val="Hyperlink"/>
            <w:rFonts w:ascii="Arial" w:hAnsi="Arial" w:cs="Arial"/>
            <w:i/>
          </w:rPr>
          <w:t>South Australia’s Waste Strategy 2020-2025</w:t>
        </w:r>
      </w:hyperlink>
      <w:r w:rsidRPr="00C76810">
        <w:rPr>
          <w:rFonts w:ascii="Arial" w:hAnsi="Arial" w:cs="Arial"/>
        </w:rPr>
        <w:t xml:space="preserve">, </w:t>
      </w:r>
      <w:hyperlink r:id="rId14" w:history="1">
        <w:r w:rsidR="0095309D" w:rsidRPr="00C76810">
          <w:rPr>
            <w:rStyle w:val="Hyperlink"/>
            <w:rFonts w:ascii="Arial" w:hAnsi="Arial" w:cs="Arial"/>
            <w:i/>
          </w:rPr>
          <w:t>Valuing</w:t>
        </w:r>
        <w:r w:rsidRPr="00C76810">
          <w:rPr>
            <w:rStyle w:val="Hyperlink"/>
            <w:rFonts w:ascii="Arial" w:hAnsi="Arial" w:cs="Arial"/>
            <w:i/>
          </w:rPr>
          <w:t xml:space="preserve"> our Food Waste, South Australia’s strategy to reduce and divert household </w:t>
        </w:r>
        <w:r w:rsidR="0095309D" w:rsidRPr="00C76810">
          <w:rPr>
            <w:rStyle w:val="Hyperlink"/>
            <w:rFonts w:ascii="Arial" w:hAnsi="Arial" w:cs="Arial"/>
            <w:i/>
          </w:rPr>
          <w:t>and business food waste</w:t>
        </w:r>
      </w:hyperlink>
      <w:r w:rsidR="0095309D" w:rsidRPr="00C76810">
        <w:rPr>
          <w:rFonts w:ascii="Arial" w:hAnsi="Arial" w:cs="Arial"/>
        </w:rPr>
        <w:t xml:space="preserve"> and address infrastructure capacity needs identified in </w:t>
      </w:r>
      <w:hyperlink r:id="rId15" w:history="1">
        <w:r w:rsidR="0095309D" w:rsidRPr="00C76810">
          <w:rPr>
            <w:rStyle w:val="Hyperlink"/>
            <w:rFonts w:ascii="Arial" w:hAnsi="Arial" w:cs="Arial"/>
          </w:rPr>
          <w:t>South Australia's Waste and Resource Recovery Infrastructure Plan</w:t>
        </w:r>
      </w:hyperlink>
      <w:r w:rsidR="0095309D" w:rsidRPr="00C76810">
        <w:rPr>
          <w:rFonts w:ascii="Arial" w:hAnsi="Arial" w:cs="Arial"/>
        </w:rPr>
        <w:t>.</w:t>
      </w:r>
      <w:r w:rsidRPr="00C76810">
        <w:rPr>
          <w:rFonts w:ascii="Arial" w:hAnsi="Arial" w:cs="Arial"/>
        </w:rPr>
        <w:t xml:space="preserve"> </w:t>
      </w:r>
    </w:p>
    <w:tbl>
      <w:tblPr>
        <w:tblStyle w:val="TableGrid"/>
        <w:tblW w:w="5000" w:type="pct"/>
        <w:tblLook w:val="04A0" w:firstRow="1" w:lastRow="0" w:firstColumn="1" w:lastColumn="0" w:noHBand="0" w:noVBand="1"/>
      </w:tblPr>
      <w:tblGrid>
        <w:gridCol w:w="1139"/>
        <w:gridCol w:w="6516"/>
        <w:gridCol w:w="1415"/>
      </w:tblGrid>
      <w:tr w:rsidR="00064973" w:rsidRPr="0037298D" w14:paraId="58661D0E" w14:textId="77777777" w:rsidTr="00D8348B">
        <w:trPr>
          <w:cantSplit/>
          <w:tblHeader/>
        </w:trPr>
        <w:tc>
          <w:tcPr>
            <w:tcW w:w="628" w:type="pct"/>
            <w:tcBorders>
              <w:top w:val="single" w:sz="4" w:space="0" w:color="auto"/>
              <w:left w:val="nil"/>
              <w:bottom w:val="single" w:sz="4" w:space="0" w:color="auto"/>
              <w:right w:val="nil"/>
            </w:tcBorders>
          </w:tcPr>
          <w:p w14:paraId="52F1F1C0" w14:textId="75278FE4" w:rsidR="00064973" w:rsidRPr="0037298D" w:rsidRDefault="00064973" w:rsidP="00D8348B">
            <w:pPr>
              <w:pStyle w:val="TableHeading"/>
              <w:rPr>
                <w:rFonts w:ascii="Arial" w:hAnsi="Arial" w:cs="Arial"/>
                <w:highlight w:val="yellow"/>
              </w:rPr>
            </w:pPr>
          </w:p>
        </w:tc>
        <w:tc>
          <w:tcPr>
            <w:tcW w:w="3592" w:type="pct"/>
            <w:tcBorders>
              <w:top w:val="single" w:sz="4" w:space="0" w:color="auto"/>
              <w:left w:val="nil"/>
              <w:bottom w:val="single" w:sz="4" w:space="0" w:color="auto"/>
              <w:right w:val="nil"/>
            </w:tcBorders>
          </w:tcPr>
          <w:p w14:paraId="26D42ACB" w14:textId="77777777" w:rsidR="00064973" w:rsidRPr="00B62AA6" w:rsidRDefault="00064973" w:rsidP="00D8348B">
            <w:pPr>
              <w:pStyle w:val="TableHeading"/>
              <w:rPr>
                <w:rFonts w:ascii="Arial" w:hAnsi="Arial" w:cs="Arial"/>
              </w:rPr>
            </w:pPr>
            <w:r w:rsidRPr="00B62AA6">
              <w:rPr>
                <w:rFonts w:ascii="Arial" w:hAnsi="Arial" w:cs="Arial"/>
              </w:rPr>
              <w:t>Criterion</w:t>
            </w:r>
          </w:p>
        </w:tc>
        <w:tc>
          <w:tcPr>
            <w:tcW w:w="780" w:type="pct"/>
            <w:tcBorders>
              <w:top w:val="single" w:sz="4" w:space="0" w:color="auto"/>
              <w:left w:val="nil"/>
              <w:bottom w:val="single" w:sz="4" w:space="0" w:color="auto"/>
              <w:right w:val="nil"/>
            </w:tcBorders>
          </w:tcPr>
          <w:p w14:paraId="347A71A2" w14:textId="77777777" w:rsidR="00064973" w:rsidRPr="00B62AA6" w:rsidRDefault="00064973" w:rsidP="00D8348B">
            <w:pPr>
              <w:pStyle w:val="TableHeading"/>
              <w:rPr>
                <w:rFonts w:ascii="Arial" w:hAnsi="Arial" w:cs="Arial"/>
              </w:rPr>
            </w:pPr>
            <w:r w:rsidRPr="00B62AA6">
              <w:rPr>
                <w:rFonts w:ascii="Arial" w:hAnsi="Arial" w:cs="Arial"/>
              </w:rPr>
              <w:t>Weighting</w:t>
            </w:r>
          </w:p>
        </w:tc>
      </w:tr>
      <w:tr w:rsidR="00064973" w:rsidRPr="0037298D" w14:paraId="7120E1D3" w14:textId="77777777" w:rsidTr="00D8348B">
        <w:tc>
          <w:tcPr>
            <w:tcW w:w="628" w:type="pct"/>
            <w:tcBorders>
              <w:top w:val="single" w:sz="4" w:space="0" w:color="auto"/>
              <w:left w:val="nil"/>
              <w:bottom w:val="single" w:sz="4" w:space="0" w:color="auto"/>
              <w:right w:val="nil"/>
            </w:tcBorders>
          </w:tcPr>
          <w:p w14:paraId="60758DAE" w14:textId="59525766" w:rsidR="00064973" w:rsidRPr="00B62AA6" w:rsidRDefault="00B62AA6" w:rsidP="00B62AA6">
            <w:pPr>
              <w:pStyle w:val="Tablenumberedlist"/>
              <w:numPr>
                <w:ilvl w:val="0"/>
                <w:numId w:val="0"/>
              </w:numPr>
              <w:ind w:left="403" w:hanging="360"/>
              <w:rPr>
                <w:rFonts w:ascii="Arial" w:hAnsi="Arial" w:cs="Arial"/>
                <w:b/>
              </w:rPr>
            </w:pPr>
            <w:r w:rsidRPr="00B62AA6">
              <w:rPr>
                <w:rFonts w:ascii="Arial" w:hAnsi="Arial" w:cs="Arial"/>
                <w:b/>
              </w:rPr>
              <w:t>1. What</w:t>
            </w:r>
          </w:p>
        </w:tc>
        <w:tc>
          <w:tcPr>
            <w:tcW w:w="3592" w:type="pct"/>
            <w:tcBorders>
              <w:top w:val="single" w:sz="4" w:space="0" w:color="auto"/>
              <w:left w:val="nil"/>
              <w:bottom w:val="single" w:sz="4" w:space="0" w:color="auto"/>
              <w:right w:val="nil"/>
            </w:tcBorders>
          </w:tcPr>
          <w:p w14:paraId="13275292" w14:textId="653863BA" w:rsidR="00B62AA6" w:rsidRPr="00B62AA6" w:rsidRDefault="00B62AA6" w:rsidP="00B62AA6">
            <w:pPr>
              <w:pStyle w:val="TableText"/>
              <w:rPr>
                <w:rFonts w:ascii="Arial" w:hAnsi="Arial" w:cs="Arial"/>
              </w:rPr>
            </w:pPr>
            <w:r w:rsidRPr="00B62AA6">
              <w:rPr>
                <w:rFonts w:ascii="Arial" w:hAnsi="Arial" w:cs="Arial"/>
              </w:rPr>
              <w:t>The project meets the objectives of the Food Waste for Healthy Soils Fund:</w:t>
            </w:r>
          </w:p>
          <w:p w14:paraId="66976EB3" w14:textId="184CA3EC" w:rsidR="00B62AA6" w:rsidRPr="00B62AA6" w:rsidRDefault="00B62AA6" w:rsidP="00B62AA6">
            <w:pPr>
              <w:pStyle w:val="TableBullet1"/>
              <w:ind w:left="284" w:hanging="284"/>
              <w:rPr>
                <w:rFonts w:ascii="Arial" w:hAnsi="Arial" w:cs="Arial"/>
              </w:rPr>
            </w:pPr>
            <w:r w:rsidRPr="00B62AA6">
              <w:rPr>
                <w:rFonts w:ascii="Arial" w:hAnsi="Arial" w:cs="Arial"/>
              </w:rPr>
              <w:t>increases the recovery and reprocessing of source separated organic waste into quality composts and soil conditioners (also include how feedstocks and outputs will be monitored and assessed to ensure safety and quality of end products)</w:t>
            </w:r>
          </w:p>
          <w:p w14:paraId="5A7EA3B0" w14:textId="66C52487" w:rsidR="00B62AA6" w:rsidRPr="00B62AA6" w:rsidRDefault="00B62AA6" w:rsidP="00B62AA6">
            <w:pPr>
              <w:pStyle w:val="TableBullet1"/>
              <w:ind w:left="284" w:hanging="284"/>
              <w:rPr>
                <w:rFonts w:ascii="Arial" w:hAnsi="Arial" w:cs="Arial"/>
              </w:rPr>
            </w:pPr>
            <w:r w:rsidRPr="00B62AA6">
              <w:rPr>
                <w:rFonts w:ascii="Arial" w:hAnsi="Arial" w:cs="Arial"/>
              </w:rPr>
              <w:t>increases the use and market demand of the end products, especially for use on agricultural soils</w:t>
            </w:r>
          </w:p>
          <w:p w14:paraId="475A8EE6" w14:textId="78B32A52" w:rsidR="00B62AA6" w:rsidRPr="00B62AA6" w:rsidRDefault="00B62AA6" w:rsidP="00B62AA6">
            <w:pPr>
              <w:pStyle w:val="TableBullet1"/>
              <w:ind w:left="284" w:hanging="284"/>
              <w:rPr>
                <w:rFonts w:ascii="Arial" w:hAnsi="Arial" w:cs="Arial"/>
              </w:rPr>
            </w:pPr>
            <w:r w:rsidRPr="00B62AA6">
              <w:rPr>
                <w:rFonts w:ascii="Arial" w:hAnsi="Arial" w:cs="Arial"/>
              </w:rPr>
              <w:t>supports employment and long-term economic growth and development.</w:t>
            </w:r>
          </w:p>
          <w:p w14:paraId="7828DFF9" w14:textId="77777777" w:rsidR="00B62AA6" w:rsidRPr="00B62AA6" w:rsidRDefault="00B62AA6" w:rsidP="00B62AA6">
            <w:pPr>
              <w:pStyle w:val="TableBullet1"/>
              <w:numPr>
                <w:ilvl w:val="0"/>
                <w:numId w:val="0"/>
              </w:numPr>
              <w:rPr>
                <w:rFonts w:ascii="Arial" w:hAnsi="Arial" w:cs="Arial"/>
              </w:rPr>
            </w:pPr>
            <w:r w:rsidRPr="00B62AA6">
              <w:rPr>
                <w:rFonts w:ascii="Arial" w:hAnsi="Arial" w:cs="Arial"/>
              </w:rPr>
              <w:t>The project is viable, including demonstration of:</w:t>
            </w:r>
          </w:p>
          <w:p w14:paraId="53254C2A" w14:textId="1C405E65" w:rsidR="00B62AA6" w:rsidRPr="00B62AA6" w:rsidRDefault="00B62AA6" w:rsidP="00B62AA6">
            <w:pPr>
              <w:pStyle w:val="TableBullet1"/>
              <w:ind w:left="284" w:hanging="284"/>
              <w:rPr>
                <w:rFonts w:ascii="Arial" w:hAnsi="Arial" w:cs="Arial"/>
              </w:rPr>
            </w:pPr>
            <w:r w:rsidRPr="00B62AA6">
              <w:rPr>
                <w:rFonts w:ascii="Arial" w:hAnsi="Arial" w:cs="Arial"/>
              </w:rPr>
              <w:t>technology and infrastructure (including contamination identification and removal and capacity to adapt to any changes to the Australian Standards which may increase minimum product requirements)</w:t>
            </w:r>
          </w:p>
          <w:p w14:paraId="58E7D913" w14:textId="6D735D50" w:rsidR="00B62AA6" w:rsidRPr="00B62AA6" w:rsidRDefault="00B62AA6" w:rsidP="00B62AA6">
            <w:pPr>
              <w:pStyle w:val="TableBullet1"/>
              <w:ind w:left="284" w:hanging="284"/>
              <w:rPr>
                <w:rFonts w:ascii="Arial" w:hAnsi="Arial" w:cs="Arial"/>
              </w:rPr>
            </w:pPr>
            <w:r w:rsidRPr="00B62AA6">
              <w:rPr>
                <w:rFonts w:ascii="Arial" w:hAnsi="Arial" w:cs="Arial"/>
              </w:rPr>
              <w:t>feedstock sourcing and output capacity</w:t>
            </w:r>
          </w:p>
          <w:p w14:paraId="5FE68C1C" w14:textId="274C2C92" w:rsidR="00064973" w:rsidRPr="00B62AA6" w:rsidRDefault="00B62AA6" w:rsidP="00B62AA6">
            <w:pPr>
              <w:pStyle w:val="TableBullet1"/>
              <w:ind w:left="284" w:hanging="284"/>
              <w:rPr>
                <w:rFonts w:ascii="Arial" w:hAnsi="Arial" w:cs="Arial"/>
              </w:rPr>
            </w:pPr>
            <w:r w:rsidRPr="00B62AA6">
              <w:rPr>
                <w:rFonts w:ascii="Arial" w:hAnsi="Arial" w:cs="Arial"/>
              </w:rPr>
              <w:t>landfill diversion and end markets.</w:t>
            </w:r>
          </w:p>
        </w:tc>
        <w:tc>
          <w:tcPr>
            <w:tcW w:w="780" w:type="pct"/>
            <w:tcBorders>
              <w:top w:val="single" w:sz="4" w:space="0" w:color="auto"/>
              <w:left w:val="nil"/>
              <w:bottom w:val="single" w:sz="4" w:space="0" w:color="auto"/>
              <w:right w:val="nil"/>
            </w:tcBorders>
          </w:tcPr>
          <w:p w14:paraId="2A9A00E4" w14:textId="2EC37AB7" w:rsidR="00064973" w:rsidRPr="00B62AA6" w:rsidRDefault="00C76810" w:rsidP="00B62AA6">
            <w:pPr>
              <w:pStyle w:val="TableText"/>
              <w:rPr>
                <w:rFonts w:ascii="Arial" w:hAnsi="Arial" w:cs="Arial"/>
              </w:rPr>
            </w:pPr>
            <w:r>
              <w:rPr>
                <w:rFonts w:ascii="Arial" w:hAnsi="Arial" w:cs="Arial"/>
              </w:rPr>
              <w:t>40 points</w:t>
            </w:r>
          </w:p>
        </w:tc>
      </w:tr>
      <w:tr w:rsidR="00064973" w:rsidRPr="0037298D" w14:paraId="1C29229D" w14:textId="77777777" w:rsidTr="00D8348B">
        <w:tc>
          <w:tcPr>
            <w:tcW w:w="628" w:type="pct"/>
            <w:tcBorders>
              <w:top w:val="single" w:sz="4" w:space="0" w:color="auto"/>
              <w:left w:val="nil"/>
              <w:bottom w:val="single" w:sz="4" w:space="0" w:color="auto"/>
              <w:right w:val="nil"/>
            </w:tcBorders>
          </w:tcPr>
          <w:p w14:paraId="158441EF" w14:textId="787170B8" w:rsidR="00064973" w:rsidRPr="00B62AA6" w:rsidRDefault="00B62AA6" w:rsidP="00B62AA6">
            <w:pPr>
              <w:pStyle w:val="Tablenumberedlist"/>
              <w:numPr>
                <w:ilvl w:val="0"/>
                <w:numId w:val="0"/>
              </w:numPr>
              <w:ind w:left="403" w:hanging="360"/>
              <w:rPr>
                <w:rFonts w:ascii="Arial" w:hAnsi="Arial" w:cs="Arial"/>
                <w:b/>
              </w:rPr>
            </w:pPr>
            <w:r w:rsidRPr="00B62AA6">
              <w:rPr>
                <w:rFonts w:ascii="Arial" w:hAnsi="Arial" w:cs="Arial"/>
                <w:b/>
              </w:rPr>
              <w:t>2. Who</w:t>
            </w:r>
          </w:p>
        </w:tc>
        <w:tc>
          <w:tcPr>
            <w:tcW w:w="3592" w:type="pct"/>
            <w:tcBorders>
              <w:top w:val="single" w:sz="4" w:space="0" w:color="auto"/>
              <w:left w:val="nil"/>
              <w:bottom w:val="single" w:sz="4" w:space="0" w:color="auto"/>
              <w:right w:val="nil"/>
            </w:tcBorders>
          </w:tcPr>
          <w:p w14:paraId="2FBC992E" w14:textId="77777777" w:rsidR="00B62AA6" w:rsidRPr="00B62AA6" w:rsidRDefault="00B62AA6" w:rsidP="00B62AA6">
            <w:pPr>
              <w:pStyle w:val="TableText"/>
              <w:rPr>
                <w:rFonts w:ascii="Arial" w:hAnsi="Arial" w:cs="Arial"/>
              </w:rPr>
            </w:pPr>
            <w:r w:rsidRPr="00B62AA6">
              <w:rPr>
                <w:rFonts w:ascii="Arial" w:hAnsi="Arial" w:cs="Arial"/>
              </w:rPr>
              <w:t>Demonstrate capability and capacity to successfully deliver the project, including:</w:t>
            </w:r>
          </w:p>
          <w:p w14:paraId="714D3C9F" w14:textId="07EC7AAD" w:rsidR="00B62AA6" w:rsidRPr="00B62AA6" w:rsidRDefault="00B62AA6" w:rsidP="00B62AA6">
            <w:pPr>
              <w:pStyle w:val="TableBullet1"/>
              <w:ind w:left="284" w:hanging="284"/>
              <w:rPr>
                <w:rFonts w:ascii="Arial" w:hAnsi="Arial" w:cs="Arial"/>
              </w:rPr>
            </w:pPr>
            <w:r w:rsidRPr="00B62AA6">
              <w:rPr>
                <w:rFonts w:ascii="Arial" w:hAnsi="Arial" w:cs="Arial"/>
              </w:rPr>
              <w:t>the industry partner’s track record in managing similar projects and access to any resources such as infrastructure, capital equipment or technology required to deliver the project</w:t>
            </w:r>
          </w:p>
          <w:p w14:paraId="3B1B8178" w14:textId="7E690866" w:rsidR="00B62AA6" w:rsidRPr="00B62AA6" w:rsidRDefault="00B62AA6" w:rsidP="00B62AA6">
            <w:pPr>
              <w:pStyle w:val="TableBullet1"/>
              <w:ind w:left="284" w:hanging="284"/>
              <w:rPr>
                <w:rFonts w:ascii="Arial" w:hAnsi="Arial" w:cs="Arial"/>
              </w:rPr>
            </w:pPr>
            <w:r w:rsidRPr="00B62AA6">
              <w:rPr>
                <w:rFonts w:ascii="Arial" w:hAnsi="Arial" w:cs="Arial"/>
              </w:rPr>
              <w:t>appropriate governance structures to support the implementation of the project</w:t>
            </w:r>
          </w:p>
          <w:p w14:paraId="2942AD0A" w14:textId="61F81B82" w:rsidR="00B62AA6" w:rsidRPr="00B62AA6" w:rsidRDefault="00B62AA6" w:rsidP="00B62AA6">
            <w:pPr>
              <w:pStyle w:val="TableBullet1"/>
              <w:ind w:left="284" w:hanging="284"/>
              <w:rPr>
                <w:rFonts w:ascii="Arial" w:hAnsi="Arial" w:cs="Arial"/>
              </w:rPr>
            </w:pPr>
            <w:r w:rsidRPr="00B62AA6">
              <w:rPr>
                <w:rFonts w:ascii="Arial" w:hAnsi="Arial" w:cs="Arial"/>
              </w:rPr>
              <w:t>appropriate commercial structures and contractual agreements are, or will be, in place</w:t>
            </w:r>
          </w:p>
          <w:p w14:paraId="0DE21F0E" w14:textId="55D19949" w:rsidR="00064973" w:rsidRPr="00B62AA6" w:rsidRDefault="00B62AA6" w:rsidP="00B62AA6">
            <w:pPr>
              <w:pStyle w:val="TableBullet1"/>
              <w:ind w:left="284" w:hanging="284"/>
              <w:rPr>
                <w:rFonts w:ascii="Arial" w:hAnsi="Arial" w:cs="Arial"/>
              </w:rPr>
            </w:pPr>
            <w:r w:rsidRPr="00B62AA6">
              <w:rPr>
                <w:rFonts w:ascii="Arial" w:hAnsi="Arial" w:cs="Arial"/>
              </w:rPr>
              <w:t>stakeholder (including local community) engagement considerations to support the implementation of the project.</w:t>
            </w:r>
            <w:r w:rsidR="00064973" w:rsidRPr="00B62AA6">
              <w:rPr>
                <w:rFonts w:ascii="Arial" w:hAnsi="Arial" w:cs="Arial"/>
              </w:rPr>
              <w:t xml:space="preserve"> </w:t>
            </w:r>
          </w:p>
        </w:tc>
        <w:tc>
          <w:tcPr>
            <w:tcW w:w="780" w:type="pct"/>
            <w:tcBorders>
              <w:top w:val="single" w:sz="4" w:space="0" w:color="auto"/>
              <w:left w:val="nil"/>
              <w:bottom w:val="single" w:sz="4" w:space="0" w:color="auto"/>
              <w:right w:val="nil"/>
            </w:tcBorders>
          </w:tcPr>
          <w:p w14:paraId="36CE1C86" w14:textId="77777777" w:rsidR="00064973" w:rsidRPr="00B62AA6" w:rsidRDefault="00064973" w:rsidP="00D8348B">
            <w:pPr>
              <w:pStyle w:val="TableText"/>
              <w:rPr>
                <w:rFonts w:ascii="Arial" w:hAnsi="Arial" w:cs="Arial"/>
              </w:rPr>
            </w:pPr>
            <w:r w:rsidRPr="00B62AA6">
              <w:rPr>
                <w:rFonts w:ascii="Arial" w:hAnsi="Arial" w:cs="Arial"/>
              </w:rPr>
              <w:t>20 points</w:t>
            </w:r>
          </w:p>
        </w:tc>
      </w:tr>
      <w:tr w:rsidR="00064973" w:rsidRPr="0037298D" w14:paraId="7E8C3400" w14:textId="77777777" w:rsidTr="00D8348B">
        <w:tc>
          <w:tcPr>
            <w:tcW w:w="628" w:type="pct"/>
            <w:tcBorders>
              <w:top w:val="single" w:sz="4" w:space="0" w:color="auto"/>
              <w:left w:val="nil"/>
              <w:bottom w:val="single" w:sz="4" w:space="0" w:color="auto"/>
              <w:right w:val="nil"/>
            </w:tcBorders>
          </w:tcPr>
          <w:p w14:paraId="7121A405" w14:textId="2721F8A6" w:rsidR="00064973" w:rsidRPr="0037298D" w:rsidRDefault="00B62AA6" w:rsidP="00B62AA6">
            <w:pPr>
              <w:pStyle w:val="Tablenumberedlist"/>
              <w:numPr>
                <w:ilvl w:val="0"/>
                <w:numId w:val="0"/>
              </w:numPr>
              <w:ind w:left="403" w:hanging="360"/>
              <w:rPr>
                <w:rFonts w:ascii="Arial" w:hAnsi="Arial" w:cs="Arial"/>
                <w:highlight w:val="yellow"/>
              </w:rPr>
            </w:pPr>
            <w:r w:rsidRPr="00B62AA6">
              <w:rPr>
                <w:rFonts w:ascii="Arial" w:hAnsi="Arial" w:cs="Arial"/>
                <w:b/>
              </w:rPr>
              <w:t>3. How</w:t>
            </w:r>
          </w:p>
        </w:tc>
        <w:tc>
          <w:tcPr>
            <w:tcW w:w="3592" w:type="pct"/>
            <w:tcBorders>
              <w:top w:val="single" w:sz="4" w:space="0" w:color="auto"/>
              <w:left w:val="nil"/>
              <w:bottom w:val="single" w:sz="4" w:space="0" w:color="auto"/>
              <w:right w:val="nil"/>
            </w:tcBorders>
          </w:tcPr>
          <w:p w14:paraId="2682254D" w14:textId="77777777" w:rsidR="00B62AA6" w:rsidRPr="00B62AA6" w:rsidRDefault="00B62AA6" w:rsidP="00B62AA6">
            <w:pPr>
              <w:pStyle w:val="TableText"/>
              <w:rPr>
                <w:rFonts w:ascii="Arial" w:hAnsi="Arial" w:cs="Arial"/>
              </w:rPr>
            </w:pPr>
            <w:r w:rsidRPr="00B62AA6">
              <w:rPr>
                <w:rFonts w:ascii="Arial" w:hAnsi="Arial" w:cs="Arial"/>
              </w:rPr>
              <w:t>Demonstrate ability to successfully deliver the project including:</w:t>
            </w:r>
          </w:p>
          <w:p w14:paraId="2F1CFFBD" w14:textId="2BF2D416" w:rsidR="00B62AA6" w:rsidRPr="00B62AA6" w:rsidRDefault="00B62AA6" w:rsidP="00B62AA6">
            <w:pPr>
              <w:pStyle w:val="TableBullet1"/>
              <w:ind w:left="284" w:hanging="284"/>
              <w:rPr>
                <w:rFonts w:ascii="Arial" w:hAnsi="Arial" w:cs="Arial"/>
              </w:rPr>
            </w:pPr>
            <w:r w:rsidRPr="00B62AA6">
              <w:rPr>
                <w:rFonts w:ascii="Arial" w:hAnsi="Arial" w:cs="Arial"/>
              </w:rPr>
              <w:t xml:space="preserve">sound project planning to manage and monitor the project addressing scope, implementation methodology, timeframes, </w:t>
            </w:r>
            <w:proofErr w:type="gramStart"/>
            <w:r w:rsidRPr="00B62AA6">
              <w:rPr>
                <w:rFonts w:ascii="Arial" w:hAnsi="Arial" w:cs="Arial"/>
              </w:rPr>
              <w:t>budget</w:t>
            </w:r>
            <w:proofErr w:type="gramEnd"/>
            <w:r w:rsidRPr="00B62AA6">
              <w:rPr>
                <w:rFonts w:ascii="Arial" w:hAnsi="Arial" w:cs="Arial"/>
              </w:rPr>
              <w:t xml:space="preserve"> and risk management, including mitigation of health</w:t>
            </w:r>
            <w:r w:rsidRPr="00B62AA6">
              <w:rPr>
                <w:rFonts w:ascii="Times-Roman" w:hAnsi="Times-Roman" w:cs="Times-Roman"/>
                <w:color w:val="000000"/>
              </w:rPr>
              <w:t xml:space="preserve"> </w:t>
            </w:r>
            <w:r w:rsidRPr="00B62AA6">
              <w:rPr>
                <w:rFonts w:ascii="Arial" w:hAnsi="Arial" w:cs="Arial"/>
              </w:rPr>
              <w:t>risks and possible project delays associated with the current COVID-19 pandemic</w:t>
            </w:r>
          </w:p>
          <w:p w14:paraId="068BD38D" w14:textId="5DF178A5" w:rsidR="00B62AA6" w:rsidRPr="00B62AA6" w:rsidRDefault="00B62AA6" w:rsidP="00B62AA6">
            <w:pPr>
              <w:pStyle w:val="TableBullet1"/>
              <w:ind w:left="284" w:hanging="284"/>
              <w:rPr>
                <w:rFonts w:ascii="Arial" w:hAnsi="Arial" w:cs="Arial"/>
              </w:rPr>
            </w:pPr>
            <w:r w:rsidRPr="00B62AA6">
              <w:rPr>
                <w:rFonts w:ascii="Arial" w:hAnsi="Arial" w:cs="Arial"/>
              </w:rPr>
              <w:t>appropriate site considerations</w:t>
            </w:r>
          </w:p>
          <w:p w14:paraId="3D3F6C30" w14:textId="1F61A056" w:rsidR="00B62AA6" w:rsidRPr="00B62AA6" w:rsidRDefault="00B62AA6" w:rsidP="00B62AA6">
            <w:pPr>
              <w:pStyle w:val="TableBullet1"/>
              <w:ind w:left="284" w:hanging="284"/>
              <w:rPr>
                <w:rFonts w:ascii="Arial" w:hAnsi="Arial" w:cs="Arial"/>
              </w:rPr>
            </w:pPr>
            <w:r w:rsidRPr="00B62AA6">
              <w:rPr>
                <w:rFonts w:ascii="Arial" w:hAnsi="Arial" w:cs="Arial"/>
              </w:rPr>
              <w:t>regulatory, statutory and works approvals will be achieved</w:t>
            </w:r>
          </w:p>
          <w:p w14:paraId="45264E78" w14:textId="561FA6C8" w:rsidR="00B62AA6" w:rsidRPr="00B62AA6" w:rsidRDefault="00B62AA6" w:rsidP="00B62AA6">
            <w:pPr>
              <w:pStyle w:val="TableBullet1"/>
              <w:ind w:left="284" w:hanging="284"/>
              <w:rPr>
                <w:rFonts w:ascii="Arial" w:hAnsi="Arial" w:cs="Arial"/>
              </w:rPr>
            </w:pPr>
            <w:r w:rsidRPr="00B62AA6">
              <w:rPr>
                <w:rFonts w:ascii="Arial" w:hAnsi="Arial" w:cs="Arial"/>
              </w:rPr>
              <w:t>the level and appropriateness of financial support provided.</w:t>
            </w:r>
          </w:p>
          <w:p w14:paraId="699D340C" w14:textId="77777777" w:rsidR="00B62AA6" w:rsidRPr="00B62AA6" w:rsidRDefault="00B62AA6" w:rsidP="00B62AA6">
            <w:pPr>
              <w:pStyle w:val="TableBullet1"/>
              <w:numPr>
                <w:ilvl w:val="0"/>
                <w:numId w:val="0"/>
              </w:numPr>
              <w:rPr>
                <w:rFonts w:ascii="Arial" w:hAnsi="Arial" w:cs="Arial"/>
              </w:rPr>
            </w:pPr>
            <w:r w:rsidRPr="00B62AA6">
              <w:rPr>
                <w:rFonts w:ascii="Arial" w:hAnsi="Arial" w:cs="Arial"/>
              </w:rPr>
              <w:t>Financial viability of the completed facility demonstrated through financial assessment and cost benefit analysis:</w:t>
            </w:r>
          </w:p>
          <w:p w14:paraId="4EE2A41F" w14:textId="2E551660" w:rsidR="00B62AA6" w:rsidRPr="00B62AA6" w:rsidRDefault="00B62AA6" w:rsidP="00B62AA6">
            <w:pPr>
              <w:pStyle w:val="TableBullet1"/>
              <w:ind w:left="284" w:hanging="284"/>
              <w:rPr>
                <w:rFonts w:ascii="Arial" w:hAnsi="Arial" w:cs="Arial"/>
              </w:rPr>
            </w:pPr>
            <w:r w:rsidRPr="00B62AA6">
              <w:rPr>
                <w:rFonts w:ascii="Arial" w:hAnsi="Arial" w:cs="Arial"/>
              </w:rPr>
              <w:t>level and certainty of the economic viability over the completed facility’s operational life</w:t>
            </w:r>
          </w:p>
          <w:p w14:paraId="329E3C7E" w14:textId="1871EDA4" w:rsidR="00064973" w:rsidRPr="00B62AA6" w:rsidRDefault="00B62AA6" w:rsidP="00B62AA6">
            <w:pPr>
              <w:pStyle w:val="TableBullet1"/>
              <w:ind w:left="284" w:hanging="284"/>
              <w:rPr>
                <w:rFonts w:ascii="Arial" w:hAnsi="Arial" w:cs="Arial"/>
              </w:rPr>
            </w:pPr>
            <w:r w:rsidRPr="00B62AA6">
              <w:rPr>
                <w:rFonts w:ascii="Arial" w:hAnsi="Arial" w:cs="Arial"/>
              </w:rPr>
              <w:t>a strong monitoring and evaluation framework is or will be in place to track the performance of the completed facility, including surge capacity planning.</w:t>
            </w:r>
          </w:p>
        </w:tc>
        <w:tc>
          <w:tcPr>
            <w:tcW w:w="780" w:type="pct"/>
            <w:tcBorders>
              <w:top w:val="single" w:sz="4" w:space="0" w:color="auto"/>
              <w:left w:val="nil"/>
              <w:bottom w:val="single" w:sz="4" w:space="0" w:color="auto"/>
              <w:right w:val="nil"/>
            </w:tcBorders>
          </w:tcPr>
          <w:p w14:paraId="7B837E2B" w14:textId="4340C713" w:rsidR="00064973" w:rsidRPr="00B62AA6" w:rsidRDefault="00B62AA6" w:rsidP="00D8348B">
            <w:pPr>
              <w:pStyle w:val="TableText"/>
              <w:rPr>
                <w:rFonts w:ascii="Arial" w:hAnsi="Arial" w:cs="Arial"/>
              </w:rPr>
            </w:pPr>
            <w:r w:rsidRPr="00B62AA6">
              <w:rPr>
                <w:rFonts w:ascii="Arial" w:hAnsi="Arial" w:cs="Arial"/>
              </w:rPr>
              <w:t>20</w:t>
            </w:r>
            <w:r w:rsidR="00064973" w:rsidRPr="00B62AA6">
              <w:rPr>
                <w:rFonts w:ascii="Arial" w:hAnsi="Arial" w:cs="Arial"/>
              </w:rPr>
              <w:t xml:space="preserve"> points</w:t>
            </w:r>
          </w:p>
        </w:tc>
      </w:tr>
      <w:tr w:rsidR="00064973" w:rsidRPr="0037298D" w14:paraId="235F4909" w14:textId="77777777" w:rsidTr="00D8348B">
        <w:tc>
          <w:tcPr>
            <w:tcW w:w="628" w:type="pct"/>
            <w:tcBorders>
              <w:top w:val="single" w:sz="4" w:space="0" w:color="auto"/>
              <w:left w:val="nil"/>
              <w:bottom w:val="single" w:sz="4" w:space="0" w:color="auto"/>
              <w:right w:val="nil"/>
            </w:tcBorders>
          </w:tcPr>
          <w:p w14:paraId="63B3D1EB" w14:textId="65B6727C" w:rsidR="00064973" w:rsidRPr="00B62AA6" w:rsidRDefault="00B62AA6" w:rsidP="00B62AA6">
            <w:pPr>
              <w:pStyle w:val="Tablenumberedlist"/>
              <w:numPr>
                <w:ilvl w:val="0"/>
                <w:numId w:val="0"/>
              </w:numPr>
              <w:ind w:left="403" w:hanging="360"/>
              <w:rPr>
                <w:rFonts w:ascii="Arial" w:hAnsi="Arial" w:cs="Arial"/>
                <w:b/>
                <w:highlight w:val="yellow"/>
              </w:rPr>
            </w:pPr>
            <w:r w:rsidRPr="00B62AA6">
              <w:rPr>
                <w:rFonts w:ascii="Arial" w:hAnsi="Arial" w:cs="Arial"/>
                <w:b/>
              </w:rPr>
              <w:t>4. Why</w:t>
            </w:r>
          </w:p>
        </w:tc>
        <w:tc>
          <w:tcPr>
            <w:tcW w:w="3592" w:type="pct"/>
            <w:tcBorders>
              <w:top w:val="single" w:sz="4" w:space="0" w:color="auto"/>
              <w:left w:val="nil"/>
              <w:bottom w:val="single" w:sz="4" w:space="0" w:color="auto"/>
              <w:right w:val="nil"/>
            </w:tcBorders>
          </w:tcPr>
          <w:p w14:paraId="3F6AA29F" w14:textId="77777777" w:rsidR="00B62AA6" w:rsidRPr="00B62AA6" w:rsidRDefault="00B62AA6" w:rsidP="00B62AA6">
            <w:pPr>
              <w:pStyle w:val="TableBullet1"/>
              <w:numPr>
                <w:ilvl w:val="0"/>
                <w:numId w:val="0"/>
              </w:numPr>
              <w:rPr>
                <w:rFonts w:ascii="Arial" w:hAnsi="Arial" w:cs="Arial"/>
              </w:rPr>
            </w:pPr>
            <w:r w:rsidRPr="00B62AA6">
              <w:rPr>
                <w:rFonts w:ascii="Arial" w:hAnsi="Arial" w:cs="Arial"/>
              </w:rPr>
              <w:t>Demonstrate why the project is needed:</w:t>
            </w:r>
          </w:p>
          <w:p w14:paraId="78ED8640" w14:textId="69D8EA49" w:rsidR="00B62AA6" w:rsidRPr="00B62AA6" w:rsidRDefault="00B62AA6" w:rsidP="00B62AA6">
            <w:pPr>
              <w:pStyle w:val="TableBullet1"/>
              <w:ind w:left="284" w:hanging="284"/>
              <w:rPr>
                <w:rFonts w:ascii="Arial" w:hAnsi="Arial" w:cs="Arial"/>
              </w:rPr>
            </w:pPr>
            <w:r w:rsidRPr="00B62AA6">
              <w:rPr>
                <w:rFonts w:ascii="Arial" w:hAnsi="Arial" w:cs="Arial"/>
              </w:rPr>
              <w:t>the need for government financial assistance, including any impacts on scope and timing if not funded</w:t>
            </w:r>
          </w:p>
          <w:p w14:paraId="4B4432F2" w14:textId="5198CDE9" w:rsidR="00B62AA6" w:rsidRPr="00B62AA6" w:rsidRDefault="00B62AA6" w:rsidP="00B62AA6">
            <w:pPr>
              <w:pStyle w:val="TableBullet1"/>
              <w:ind w:left="284" w:hanging="284"/>
              <w:rPr>
                <w:rFonts w:ascii="Arial" w:hAnsi="Arial" w:cs="Arial"/>
              </w:rPr>
            </w:pPr>
            <w:r w:rsidRPr="00B62AA6">
              <w:rPr>
                <w:rFonts w:ascii="Arial" w:hAnsi="Arial" w:cs="Arial"/>
              </w:rPr>
              <w:lastRenderedPageBreak/>
              <w:t>project benefit (</w:t>
            </w:r>
            <w:proofErr w:type="gramStart"/>
            <w:r w:rsidRPr="00B62AA6">
              <w:rPr>
                <w:rFonts w:ascii="Arial" w:hAnsi="Arial" w:cs="Arial"/>
              </w:rPr>
              <w:t>e.g.</w:t>
            </w:r>
            <w:proofErr w:type="gramEnd"/>
            <w:r w:rsidRPr="00B62AA6">
              <w:rPr>
                <w:rFonts w:ascii="Arial" w:hAnsi="Arial" w:cs="Arial"/>
              </w:rPr>
              <w:t xml:space="preserve"> fills a processing capacity gap or a market demand)</w:t>
            </w:r>
          </w:p>
          <w:p w14:paraId="126344C2" w14:textId="67F757CB" w:rsidR="00B62AA6" w:rsidRPr="00B62AA6" w:rsidRDefault="00B62AA6" w:rsidP="00B62AA6">
            <w:pPr>
              <w:pStyle w:val="TableBullet1"/>
              <w:ind w:left="284" w:hanging="284"/>
              <w:rPr>
                <w:rFonts w:ascii="Arial" w:hAnsi="Arial" w:cs="Arial"/>
              </w:rPr>
            </w:pPr>
            <w:r w:rsidRPr="00B62AA6">
              <w:rPr>
                <w:rFonts w:ascii="Arial" w:hAnsi="Arial" w:cs="Arial"/>
              </w:rPr>
              <w:t>economic benefit (</w:t>
            </w:r>
            <w:proofErr w:type="gramStart"/>
            <w:r w:rsidRPr="00B62AA6">
              <w:rPr>
                <w:rFonts w:ascii="Arial" w:hAnsi="Arial" w:cs="Arial"/>
              </w:rPr>
              <w:t>e.g.</w:t>
            </w:r>
            <w:proofErr w:type="gramEnd"/>
            <w:r w:rsidRPr="00B62AA6">
              <w:rPr>
                <w:rFonts w:ascii="Arial" w:hAnsi="Arial" w:cs="Arial"/>
              </w:rPr>
              <w:t xml:space="preserve"> jobs growth, industry value)</w:t>
            </w:r>
          </w:p>
          <w:p w14:paraId="05518DF6" w14:textId="0C342468" w:rsidR="00B62AA6" w:rsidRPr="00B62AA6" w:rsidRDefault="00B62AA6" w:rsidP="00B62AA6">
            <w:pPr>
              <w:pStyle w:val="TableBullet1"/>
              <w:ind w:left="284" w:hanging="284"/>
              <w:rPr>
                <w:rFonts w:ascii="Arial" w:hAnsi="Arial" w:cs="Arial"/>
              </w:rPr>
            </w:pPr>
            <w:r w:rsidRPr="00B62AA6">
              <w:rPr>
                <w:rFonts w:ascii="Arial" w:hAnsi="Arial" w:cs="Arial"/>
              </w:rPr>
              <w:t>social benefit (</w:t>
            </w:r>
            <w:proofErr w:type="gramStart"/>
            <w:r w:rsidRPr="00B62AA6">
              <w:rPr>
                <w:rFonts w:ascii="Arial" w:hAnsi="Arial" w:cs="Arial"/>
              </w:rPr>
              <w:t>e.g.</w:t>
            </w:r>
            <w:proofErr w:type="gramEnd"/>
            <w:r w:rsidRPr="00B62AA6">
              <w:rPr>
                <w:rFonts w:ascii="Arial" w:hAnsi="Arial" w:cs="Arial"/>
              </w:rPr>
              <w:t xml:space="preserve"> community value, benefit sharing)</w:t>
            </w:r>
          </w:p>
          <w:p w14:paraId="24BFD4C9" w14:textId="19D69AB3" w:rsidR="00B62AA6" w:rsidRPr="00B62AA6" w:rsidRDefault="00B62AA6" w:rsidP="00B62AA6">
            <w:pPr>
              <w:pStyle w:val="TableBullet1"/>
              <w:ind w:left="284" w:hanging="284"/>
              <w:rPr>
                <w:rFonts w:ascii="Arial" w:hAnsi="Arial" w:cs="Arial"/>
              </w:rPr>
            </w:pPr>
            <w:r w:rsidRPr="00B62AA6">
              <w:rPr>
                <w:rFonts w:ascii="Arial" w:hAnsi="Arial" w:cs="Arial"/>
              </w:rPr>
              <w:t>environmental benefit (</w:t>
            </w:r>
            <w:proofErr w:type="gramStart"/>
            <w:r w:rsidRPr="00B62AA6">
              <w:rPr>
                <w:rFonts w:ascii="Arial" w:hAnsi="Arial" w:cs="Arial"/>
              </w:rPr>
              <w:t>e.g.</w:t>
            </w:r>
            <w:proofErr w:type="gramEnd"/>
            <w:r w:rsidRPr="00B62AA6">
              <w:rPr>
                <w:rFonts w:ascii="Arial" w:hAnsi="Arial" w:cs="Arial"/>
              </w:rPr>
              <w:t xml:space="preserve"> reduction in environmental impacts)</w:t>
            </w:r>
          </w:p>
          <w:p w14:paraId="04891032" w14:textId="7648B641" w:rsidR="00064973" w:rsidRPr="00B62AA6" w:rsidRDefault="00B62AA6" w:rsidP="00B62AA6">
            <w:pPr>
              <w:pStyle w:val="TableBullet1"/>
              <w:ind w:left="284" w:hanging="284"/>
              <w:rPr>
                <w:rFonts w:ascii="Arial" w:hAnsi="Arial" w:cs="Arial"/>
              </w:rPr>
            </w:pPr>
            <w:r w:rsidRPr="00B62AA6">
              <w:rPr>
                <w:rFonts w:ascii="Arial" w:hAnsi="Arial" w:cs="Arial"/>
              </w:rPr>
              <w:t>policy and regulatory alignment (</w:t>
            </w:r>
            <w:proofErr w:type="gramStart"/>
            <w:r w:rsidRPr="00B62AA6">
              <w:rPr>
                <w:rFonts w:ascii="Arial" w:hAnsi="Arial" w:cs="Arial"/>
              </w:rPr>
              <w:t>e.g.</w:t>
            </w:r>
            <w:proofErr w:type="gramEnd"/>
            <w:r w:rsidRPr="00B62AA6">
              <w:rPr>
                <w:rFonts w:ascii="Arial" w:hAnsi="Arial" w:cs="Arial"/>
              </w:rPr>
              <w:t xml:space="preserve"> project outcomes align with the Australian Government’s agenda around waste reduction, recycling and soil health).</w:t>
            </w:r>
          </w:p>
        </w:tc>
        <w:tc>
          <w:tcPr>
            <w:tcW w:w="780" w:type="pct"/>
            <w:tcBorders>
              <w:top w:val="single" w:sz="4" w:space="0" w:color="auto"/>
              <w:left w:val="nil"/>
              <w:bottom w:val="single" w:sz="4" w:space="0" w:color="auto"/>
              <w:right w:val="nil"/>
            </w:tcBorders>
          </w:tcPr>
          <w:p w14:paraId="193F1041" w14:textId="7BB12020" w:rsidR="00064973" w:rsidRPr="00B62AA6" w:rsidRDefault="00B62AA6" w:rsidP="00D8348B">
            <w:pPr>
              <w:pStyle w:val="TableText"/>
              <w:rPr>
                <w:rFonts w:ascii="Arial" w:hAnsi="Arial" w:cs="Arial"/>
              </w:rPr>
            </w:pPr>
            <w:r w:rsidRPr="00B62AA6">
              <w:rPr>
                <w:rFonts w:ascii="Arial" w:hAnsi="Arial" w:cs="Arial"/>
              </w:rPr>
              <w:lastRenderedPageBreak/>
              <w:t>20</w:t>
            </w:r>
            <w:r w:rsidR="00064973" w:rsidRPr="00B62AA6">
              <w:rPr>
                <w:rFonts w:ascii="Arial" w:hAnsi="Arial" w:cs="Arial"/>
              </w:rPr>
              <w:t xml:space="preserve"> points</w:t>
            </w:r>
          </w:p>
        </w:tc>
      </w:tr>
      <w:tr w:rsidR="00064973" w:rsidRPr="0037298D" w14:paraId="6941E096" w14:textId="77777777" w:rsidTr="00D8348B">
        <w:tc>
          <w:tcPr>
            <w:tcW w:w="628" w:type="pct"/>
            <w:tcBorders>
              <w:top w:val="single" w:sz="4" w:space="0" w:color="auto"/>
              <w:left w:val="nil"/>
              <w:bottom w:val="single" w:sz="4" w:space="0" w:color="auto"/>
              <w:right w:val="nil"/>
            </w:tcBorders>
          </w:tcPr>
          <w:p w14:paraId="19819352" w14:textId="404A5715" w:rsidR="00064973" w:rsidRPr="0037298D" w:rsidRDefault="00B62AA6" w:rsidP="00B62AA6">
            <w:pPr>
              <w:pStyle w:val="Tablenumberedlist"/>
              <w:numPr>
                <w:ilvl w:val="0"/>
                <w:numId w:val="0"/>
              </w:numPr>
              <w:ind w:left="403" w:hanging="360"/>
              <w:rPr>
                <w:rFonts w:ascii="Arial" w:hAnsi="Arial" w:cs="Arial"/>
                <w:highlight w:val="yellow"/>
              </w:rPr>
            </w:pPr>
            <w:r>
              <w:rPr>
                <w:rFonts w:ascii="Arial" w:hAnsi="Arial" w:cs="Arial"/>
                <w:b/>
              </w:rPr>
              <w:t>D</w:t>
            </w:r>
            <w:r w:rsidRPr="00B62AA6">
              <w:rPr>
                <w:rFonts w:ascii="Arial" w:hAnsi="Arial" w:cs="Arial"/>
                <w:b/>
              </w:rPr>
              <w:t>iversity</w:t>
            </w:r>
          </w:p>
        </w:tc>
        <w:tc>
          <w:tcPr>
            <w:tcW w:w="3592" w:type="pct"/>
            <w:tcBorders>
              <w:top w:val="single" w:sz="4" w:space="0" w:color="auto"/>
              <w:left w:val="nil"/>
              <w:bottom w:val="single" w:sz="4" w:space="0" w:color="auto"/>
              <w:right w:val="nil"/>
            </w:tcBorders>
          </w:tcPr>
          <w:p w14:paraId="56A2F16F" w14:textId="77777777" w:rsidR="00B62AA6" w:rsidRPr="00B62AA6" w:rsidRDefault="00B62AA6" w:rsidP="00B62AA6">
            <w:pPr>
              <w:pStyle w:val="TableBullet1"/>
              <w:numPr>
                <w:ilvl w:val="0"/>
                <w:numId w:val="0"/>
              </w:numPr>
              <w:rPr>
                <w:rFonts w:ascii="Arial" w:hAnsi="Arial" w:cs="Arial"/>
              </w:rPr>
            </w:pPr>
            <w:r w:rsidRPr="00B62AA6">
              <w:rPr>
                <w:rFonts w:ascii="Arial" w:hAnsi="Arial" w:cs="Arial"/>
              </w:rPr>
              <w:t>Rankings may be overlaid to achieve a mix of projects that represent:</w:t>
            </w:r>
          </w:p>
          <w:p w14:paraId="44151B85" w14:textId="75999397" w:rsidR="00B62AA6" w:rsidRPr="00B62AA6" w:rsidRDefault="00B62AA6" w:rsidP="00B62AA6">
            <w:pPr>
              <w:pStyle w:val="TableBullet1"/>
              <w:ind w:left="284" w:hanging="284"/>
              <w:rPr>
                <w:rFonts w:ascii="Arial" w:hAnsi="Arial" w:cs="Arial"/>
              </w:rPr>
            </w:pPr>
            <w:r w:rsidRPr="00B62AA6">
              <w:rPr>
                <w:rFonts w:ascii="Arial" w:hAnsi="Arial" w:cs="Arial"/>
              </w:rPr>
              <w:t xml:space="preserve">a geographical spread across Australian jurisdictions that addresses regional, </w:t>
            </w:r>
            <w:proofErr w:type="gramStart"/>
            <w:r w:rsidRPr="00B62AA6">
              <w:rPr>
                <w:rFonts w:ascii="Arial" w:hAnsi="Arial" w:cs="Arial"/>
              </w:rPr>
              <w:t>remote</w:t>
            </w:r>
            <w:proofErr w:type="gramEnd"/>
            <w:r w:rsidRPr="00B62AA6">
              <w:rPr>
                <w:rFonts w:ascii="Arial" w:hAnsi="Arial" w:cs="Arial"/>
              </w:rPr>
              <w:t xml:space="preserve"> and metro waste challenges</w:t>
            </w:r>
          </w:p>
          <w:p w14:paraId="78CDA23E" w14:textId="66379768" w:rsidR="00B62AA6" w:rsidRPr="00B62AA6" w:rsidRDefault="00B62AA6" w:rsidP="00B62AA6">
            <w:pPr>
              <w:pStyle w:val="TableBullet1"/>
              <w:ind w:left="284" w:hanging="284"/>
              <w:rPr>
                <w:rFonts w:ascii="Arial" w:hAnsi="Arial" w:cs="Arial"/>
              </w:rPr>
            </w:pPr>
            <w:r w:rsidRPr="00B62AA6">
              <w:rPr>
                <w:rFonts w:ascii="Arial" w:hAnsi="Arial" w:cs="Arial"/>
              </w:rPr>
              <w:t>a diversity in project types (</w:t>
            </w:r>
            <w:proofErr w:type="gramStart"/>
            <w:r w:rsidRPr="00B62AA6">
              <w:rPr>
                <w:rFonts w:ascii="Arial" w:hAnsi="Arial" w:cs="Arial"/>
              </w:rPr>
              <w:t>i.e.</w:t>
            </w:r>
            <w:proofErr w:type="gramEnd"/>
            <w:r w:rsidRPr="00B62AA6">
              <w:rPr>
                <w:rFonts w:ascii="Arial" w:hAnsi="Arial" w:cs="Arial"/>
              </w:rPr>
              <w:t xml:space="preserve"> innovative), especially those that increase resilience of markets</w:t>
            </w:r>
          </w:p>
          <w:p w14:paraId="1AFD7B58" w14:textId="23DC92DF" w:rsidR="00064973" w:rsidRPr="00B62AA6" w:rsidRDefault="00B62AA6" w:rsidP="00B62AA6">
            <w:pPr>
              <w:pStyle w:val="TableBullet1"/>
              <w:ind w:left="284" w:hanging="284"/>
              <w:rPr>
                <w:rFonts w:ascii="Arial" w:hAnsi="Arial" w:cs="Arial"/>
              </w:rPr>
            </w:pPr>
            <w:r w:rsidRPr="00B62AA6">
              <w:rPr>
                <w:rFonts w:ascii="Arial" w:hAnsi="Arial" w:cs="Arial"/>
              </w:rPr>
              <w:t>consortium projects that address cross-jurisdictional gaps.</w:t>
            </w:r>
          </w:p>
        </w:tc>
        <w:tc>
          <w:tcPr>
            <w:tcW w:w="780" w:type="pct"/>
            <w:tcBorders>
              <w:top w:val="single" w:sz="4" w:space="0" w:color="auto"/>
              <w:left w:val="nil"/>
              <w:bottom w:val="single" w:sz="4" w:space="0" w:color="auto"/>
              <w:right w:val="nil"/>
            </w:tcBorders>
          </w:tcPr>
          <w:p w14:paraId="0971AE8C" w14:textId="5FFB4B67" w:rsidR="00064973" w:rsidRPr="0037298D" w:rsidRDefault="00064973" w:rsidP="00D8348B">
            <w:pPr>
              <w:pStyle w:val="TableText"/>
              <w:rPr>
                <w:rFonts w:ascii="Arial" w:hAnsi="Arial" w:cs="Arial"/>
                <w:highlight w:val="yellow"/>
              </w:rPr>
            </w:pPr>
          </w:p>
        </w:tc>
      </w:tr>
    </w:tbl>
    <w:p w14:paraId="0639186C" w14:textId="77777777" w:rsidR="00064973" w:rsidRPr="003D0011" w:rsidRDefault="00064973" w:rsidP="00064973">
      <w:pPr>
        <w:spacing w:after="120"/>
        <w:rPr>
          <w:rFonts w:ascii="Arial" w:hAnsi="Arial" w:cs="Arial"/>
        </w:rPr>
      </w:pPr>
    </w:p>
    <w:bookmarkEnd w:id="0"/>
    <w:p w14:paraId="549E31AC" w14:textId="77777777" w:rsidR="00064973" w:rsidRPr="003D0011" w:rsidRDefault="00064973" w:rsidP="00064973">
      <w:pPr>
        <w:rPr>
          <w:rFonts w:ascii="Arial" w:hAnsi="Arial" w:cs="Arial"/>
          <w:lang w:eastAsia="ja-JP"/>
        </w:rPr>
      </w:pPr>
    </w:p>
    <w:p w14:paraId="4C2A406A" w14:textId="33B40F64" w:rsidR="00402B2A" w:rsidRPr="00EB67F0" w:rsidRDefault="00402B2A" w:rsidP="00EB67F0">
      <w:pPr>
        <w:pStyle w:val="ListParagraph"/>
        <w:ind w:left="0"/>
        <w:jc w:val="center"/>
        <w:rPr>
          <w:color w:val="FFFFFF" w:themeColor="background1"/>
        </w:rPr>
      </w:pPr>
    </w:p>
    <w:sectPr w:rsidR="00402B2A" w:rsidRPr="00EB67F0" w:rsidSect="00552476">
      <w:headerReference w:type="default" r:id="rId16"/>
      <w:footerReference w:type="default" r:id="rId17"/>
      <w:headerReference w:type="first" r:id="rId18"/>
      <w:footerReference w:type="first" r:id="rId1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3AE1" w14:textId="77777777" w:rsidR="001741B9" w:rsidRDefault="001741B9" w:rsidP="00F75098">
      <w:pPr>
        <w:spacing w:after="0" w:line="240" w:lineRule="auto"/>
      </w:pPr>
      <w:r>
        <w:separator/>
      </w:r>
    </w:p>
  </w:endnote>
  <w:endnote w:type="continuationSeparator" w:id="0">
    <w:p w14:paraId="4BE21969" w14:textId="77777777" w:rsidR="001741B9" w:rsidRDefault="001741B9" w:rsidP="00F7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42118"/>
      <w:docPartObj>
        <w:docPartGallery w:val="Page Numbers (Bottom of Page)"/>
        <w:docPartUnique/>
      </w:docPartObj>
    </w:sdtPr>
    <w:sdtEndPr>
      <w:rPr>
        <w:noProof/>
      </w:rPr>
    </w:sdtEndPr>
    <w:sdtContent>
      <w:p w14:paraId="6001F45D" w14:textId="773736E6" w:rsidR="00921EFF" w:rsidRDefault="00921EFF" w:rsidP="005A62D2">
        <w:pPr>
          <w:pStyle w:val="Footer"/>
          <w:jc w:val="center"/>
        </w:pPr>
        <w:r>
          <w:fldChar w:fldCharType="begin"/>
        </w:r>
        <w:r>
          <w:instrText xml:space="preserve"> PAGE   \* MERGEFORMAT </w:instrText>
        </w:r>
        <w:r>
          <w:fldChar w:fldCharType="separate"/>
        </w:r>
        <w:r w:rsidR="007E1842">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02B0" w14:textId="6D0A0391" w:rsidR="00ED2CC3" w:rsidRDefault="0014206E">
    <w:pPr>
      <w:pStyle w:val="Footer"/>
    </w:pPr>
    <w:r>
      <w:fldChar w:fldCharType="begin"/>
    </w:r>
    <w:r>
      <w:instrText xml:space="preserve"> PAGE   \* MERGEFORMAT </w:instrText>
    </w:r>
    <w:r>
      <w:fldChar w:fldCharType="separate"/>
    </w:r>
    <w:r w:rsidR="00080CDB">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3E26" w14:textId="05DCC45B" w:rsidR="00ED2CC3" w:rsidRDefault="0014206E">
    <w:pPr>
      <w:pStyle w:val="Footer"/>
    </w:pPr>
    <w:r>
      <w:fldChar w:fldCharType="begin"/>
    </w:r>
    <w:r>
      <w:instrText xml:space="preserve"> PAGE   \* MERGEFORMAT </w:instrText>
    </w:r>
    <w:r>
      <w:fldChar w:fldCharType="separate"/>
    </w:r>
    <w:r w:rsidR="001F613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7CF7F" w14:textId="77777777" w:rsidR="001741B9" w:rsidRDefault="001741B9" w:rsidP="00F75098">
      <w:pPr>
        <w:spacing w:after="0" w:line="240" w:lineRule="auto"/>
      </w:pPr>
      <w:r>
        <w:separator/>
      </w:r>
    </w:p>
  </w:footnote>
  <w:footnote w:type="continuationSeparator" w:id="0">
    <w:p w14:paraId="4C3E1B70" w14:textId="77777777" w:rsidR="001741B9" w:rsidRDefault="001741B9" w:rsidP="00F75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FA69" w14:textId="285C0B31" w:rsidR="00FB169C" w:rsidRDefault="00FB169C">
    <w:pPr>
      <w:pStyle w:val="Header"/>
    </w:pPr>
    <w:r>
      <w:rPr>
        <w:noProof/>
        <w:lang w:eastAsia="en-AU"/>
      </w:rPr>
      <w:drawing>
        <wp:anchor distT="0" distB="0" distL="114300" distR="114300" simplePos="0" relativeHeight="251658240" behindDoc="1" locked="0" layoutInCell="1" allowOverlap="1" wp14:anchorId="6E261E5B" wp14:editId="63BEFD4B">
          <wp:simplePos x="0" y="0"/>
          <wp:positionH relativeFrom="column">
            <wp:posOffset>-886062</wp:posOffset>
          </wp:positionH>
          <wp:positionV relativeFrom="paragraph">
            <wp:posOffset>-450215</wp:posOffset>
          </wp:positionV>
          <wp:extent cx="7559400" cy="1068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3CA4" w14:textId="57F2A4E3" w:rsidR="00ED2CC3" w:rsidRPr="00B34F55" w:rsidRDefault="0037298D" w:rsidP="00B34F55">
    <w:pPr>
      <w:pStyle w:val="Header"/>
    </w:pPr>
    <w:r>
      <w:t>Food Waste for Healthy Soils</w:t>
    </w:r>
    <w:r w:rsidR="0014206E" w:rsidRPr="00B34F55">
      <w:t xml:space="preserve">: Guidelines for Commonwealth co-investment </w:t>
    </w:r>
    <w:r>
      <w:t>for</w:t>
    </w:r>
    <w:r w:rsidR="0014206E" w:rsidRPr="00B34F55">
      <w:t xml:space="preserve"> recycling infrastructure projects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B0F8" w14:textId="77777777" w:rsidR="00ED2CC3" w:rsidRDefault="00174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752"/>
    <w:multiLevelType w:val="multilevel"/>
    <w:tmpl w:val="5CDE407A"/>
    <w:lvl w:ilvl="0">
      <w:start w:val="1"/>
      <w:numFmt w:val="bullet"/>
      <w:lvlText w:val=""/>
      <w:lvlJc w:val="left"/>
      <w:pPr>
        <w:ind w:left="1145" w:hanging="425"/>
      </w:pPr>
      <w:rPr>
        <w:rFonts w:ascii="Symbol" w:hAnsi="Symbol" w:hint="default"/>
        <w:color w:val="auto"/>
      </w:rPr>
    </w:lvl>
    <w:lvl w:ilvl="1">
      <w:start w:val="1"/>
      <w:numFmt w:val="lowerLetter"/>
      <w:lvlText w:val="%2)"/>
      <w:lvlJc w:val="left"/>
      <w:pPr>
        <w:ind w:left="1571" w:hanging="426"/>
      </w:pPr>
      <w:rPr>
        <w:rFonts w:hint="default"/>
      </w:rPr>
    </w:lvl>
    <w:lvl w:ilvl="2">
      <w:start w:val="1"/>
      <w:numFmt w:val="lowerRoman"/>
      <w:lvlText w:val="%3)"/>
      <w:lvlJc w:val="left"/>
      <w:pPr>
        <w:ind w:left="1911" w:hanging="340"/>
      </w:pPr>
      <w:rPr>
        <w:rFonts w:hint="default"/>
      </w:rPr>
    </w:lvl>
    <w:lvl w:ilvl="3">
      <w:start w:val="1"/>
      <w:numFmt w:val="decimal"/>
      <w:lvlText w:val="%4."/>
      <w:lvlJc w:val="left"/>
      <w:pPr>
        <w:ind w:left="1996" w:hanging="1276"/>
      </w:pPr>
      <w:rPr>
        <w:rFonts w:hint="default"/>
      </w:rPr>
    </w:lvl>
    <w:lvl w:ilvl="4">
      <w:start w:val="1"/>
      <w:numFmt w:val="lowerLetter"/>
      <w:lvlText w:val="%5."/>
      <w:lvlJc w:val="left"/>
      <w:pPr>
        <w:ind w:left="1287" w:hanging="567"/>
      </w:pPr>
      <w:rPr>
        <w:rFonts w:hint="default"/>
      </w:rPr>
    </w:lvl>
    <w:lvl w:ilvl="5">
      <w:start w:val="1"/>
      <w:numFmt w:val="lowerRoman"/>
      <w:lvlText w:val="%6."/>
      <w:lvlJc w:val="right"/>
      <w:pPr>
        <w:ind w:left="1287" w:hanging="567"/>
      </w:pPr>
      <w:rPr>
        <w:rFonts w:hint="default"/>
      </w:rPr>
    </w:lvl>
    <w:lvl w:ilvl="6">
      <w:start w:val="1"/>
      <w:numFmt w:val="decimal"/>
      <w:lvlText w:val="%7."/>
      <w:lvlJc w:val="left"/>
      <w:pPr>
        <w:ind w:left="1287" w:hanging="567"/>
      </w:pPr>
      <w:rPr>
        <w:rFonts w:hint="default"/>
      </w:rPr>
    </w:lvl>
    <w:lvl w:ilvl="7">
      <w:start w:val="1"/>
      <w:numFmt w:val="lowerLetter"/>
      <w:lvlText w:val="%8."/>
      <w:lvlJc w:val="left"/>
      <w:pPr>
        <w:ind w:left="1287" w:hanging="567"/>
      </w:pPr>
      <w:rPr>
        <w:rFonts w:hint="default"/>
      </w:rPr>
    </w:lvl>
    <w:lvl w:ilvl="8">
      <w:start w:val="1"/>
      <w:numFmt w:val="lowerRoman"/>
      <w:lvlText w:val="%9."/>
      <w:lvlJc w:val="right"/>
      <w:pPr>
        <w:ind w:left="1287" w:hanging="567"/>
      </w:pPr>
      <w:rPr>
        <w:rFonts w:hint="default"/>
      </w:rPr>
    </w:lvl>
  </w:abstractNum>
  <w:abstractNum w:abstractNumId="1" w15:restartNumberingAfterBreak="0">
    <w:nsid w:val="15564BFF"/>
    <w:multiLevelType w:val="hybridMultilevel"/>
    <w:tmpl w:val="89BC5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1AF67E43"/>
    <w:multiLevelType w:val="hybridMultilevel"/>
    <w:tmpl w:val="58AA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310B2365"/>
    <w:multiLevelType w:val="multilevel"/>
    <w:tmpl w:val="127ED228"/>
    <w:lvl w:ilvl="0">
      <w:start w:val="1"/>
      <w:numFmt w:val="bullet"/>
      <w:lvlText w:val=""/>
      <w:lvlJc w:val="left"/>
      <w:pPr>
        <w:ind w:left="850" w:hanging="425"/>
      </w:pPr>
      <w:rPr>
        <w:rFonts w:ascii="Symbol" w:hAnsi="Symbol" w:hint="default"/>
        <w:color w:val="auto"/>
      </w:rPr>
    </w:lvl>
    <w:lvl w:ilvl="1">
      <w:start w:val="1"/>
      <w:numFmt w:val="lowerLetter"/>
      <w:lvlText w:val="%2)"/>
      <w:lvlJc w:val="left"/>
      <w:pPr>
        <w:ind w:left="1276" w:hanging="426"/>
      </w:pPr>
      <w:rPr>
        <w:rFonts w:hint="default"/>
      </w:rPr>
    </w:lvl>
    <w:lvl w:ilvl="2">
      <w:start w:val="1"/>
      <w:numFmt w:val="lowerRoman"/>
      <w:lvlText w:val="%3)"/>
      <w:lvlJc w:val="left"/>
      <w:pPr>
        <w:ind w:left="1616" w:hanging="340"/>
      </w:pPr>
      <w:rPr>
        <w:rFonts w:hint="default"/>
      </w:rPr>
    </w:lvl>
    <w:lvl w:ilvl="3">
      <w:start w:val="1"/>
      <w:numFmt w:val="decimal"/>
      <w:lvlText w:val="%4."/>
      <w:lvlJc w:val="left"/>
      <w:pPr>
        <w:ind w:left="1701" w:hanging="1276"/>
      </w:pPr>
      <w:rPr>
        <w:rFonts w:hint="default"/>
      </w:rPr>
    </w:lvl>
    <w:lvl w:ilvl="4">
      <w:start w:val="1"/>
      <w:numFmt w:val="lowerLetter"/>
      <w:lvlText w:val="%5."/>
      <w:lvlJc w:val="left"/>
      <w:pPr>
        <w:ind w:left="992" w:hanging="567"/>
      </w:pPr>
      <w:rPr>
        <w:rFonts w:hint="default"/>
      </w:rPr>
    </w:lvl>
    <w:lvl w:ilvl="5">
      <w:start w:val="1"/>
      <w:numFmt w:val="lowerRoman"/>
      <w:lvlText w:val="%6."/>
      <w:lvlJc w:val="right"/>
      <w:pPr>
        <w:ind w:left="992" w:hanging="567"/>
      </w:pPr>
      <w:rPr>
        <w:rFonts w:hint="default"/>
      </w:rPr>
    </w:lvl>
    <w:lvl w:ilvl="6">
      <w:start w:val="1"/>
      <w:numFmt w:val="decimal"/>
      <w:lvlText w:val="%7."/>
      <w:lvlJc w:val="left"/>
      <w:pPr>
        <w:ind w:left="992" w:hanging="567"/>
      </w:pPr>
      <w:rPr>
        <w:rFonts w:hint="default"/>
      </w:rPr>
    </w:lvl>
    <w:lvl w:ilvl="7">
      <w:start w:val="1"/>
      <w:numFmt w:val="lowerLetter"/>
      <w:lvlText w:val="%8."/>
      <w:lvlJc w:val="left"/>
      <w:pPr>
        <w:ind w:left="992" w:hanging="567"/>
      </w:pPr>
      <w:rPr>
        <w:rFonts w:hint="default"/>
      </w:rPr>
    </w:lvl>
    <w:lvl w:ilvl="8">
      <w:start w:val="1"/>
      <w:numFmt w:val="lowerRoman"/>
      <w:lvlText w:val="%9."/>
      <w:lvlJc w:val="right"/>
      <w:pPr>
        <w:ind w:left="992" w:hanging="567"/>
      </w:pPr>
      <w:rPr>
        <w:rFonts w:hint="default"/>
      </w:rPr>
    </w:lvl>
  </w:abstractNum>
  <w:abstractNum w:abstractNumId="6" w15:restartNumberingAfterBreak="0">
    <w:nsid w:val="31AC5BCC"/>
    <w:multiLevelType w:val="multilevel"/>
    <w:tmpl w:val="7BE6AAA0"/>
    <w:lvl w:ilvl="0">
      <w:start w:val="1"/>
      <w:numFmt w:val="decimal"/>
      <w:pStyle w:val="CabStandard"/>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7" w15:restartNumberingAfterBreak="0">
    <w:nsid w:val="324E145E"/>
    <w:multiLevelType w:val="hybridMultilevel"/>
    <w:tmpl w:val="9F38A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B44BAF"/>
    <w:multiLevelType w:val="hybridMultilevel"/>
    <w:tmpl w:val="55D41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300F67"/>
    <w:multiLevelType w:val="multilevel"/>
    <w:tmpl w:val="5CDE407A"/>
    <w:lvl w:ilvl="0">
      <w:start w:val="1"/>
      <w:numFmt w:val="bullet"/>
      <w:lvlText w:val=""/>
      <w:lvlJc w:val="left"/>
      <w:pPr>
        <w:ind w:left="1145" w:hanging="425"/>
      </w:pPr>
      <w:rPr>
        <w:rFonts w:ascii="Symbol" w:hAnsi="Symbol" w:hint="default"/>
        <w:color w:val="auto"/>
      </w:rPr>
    </w:lvl>
    <w:lvl w:ilvl="1">
      <w:start w:val="1"/>
      <w:numFmt w:val="lowerLetter"/>
      <w:lvlText w:val="%2)"/>
      <w:lvlJc w:val="left"/>
      <w:pPr>
        <w:ind w:left="1571" w:hanging="426"/>
      </w:pPr>
      <w:rPr>
        <w:rFonts w:hint="default"/>
      </w:rPr>
    </w:lvl>
    <w:lvl w:ilvl="2">
      <w:start w:val="1"/>
      <w:numFmt w:val="lowerRoman"/>
      <w:lvlText w:val="%3)"/>
      <w:lvlJc w:val="left"/>
      <w:pPr>
        <w:ind w:left="1911" w:hanging="340"/>
      </w:pPr>
      <w:rPr>
        <w:rFonts w:hint="default"/>
      </w:rPr>
    </w:lvl>
    <w:lvl w:ilvl="3">
      <w:start w:val="1"/>
      <w:numFmt w:val="decimal"/>
      <w:lvlText w:val="%4."/>
      <w:lvlJc w:val="left"/>
      <w:pPr>
        <w:ind w:left="1996" w:hanging="1276"/>
      </w:pPr>
      <w:rPr>
        <w:rFonts w:hint="default"/>
      </w:rPr>
    </w:lvl>
    <w:lvl w:ilvl="4">
      <w:start w:val="1"/>
      <w:numFmt w:val="lowerLetter"/>
      <w:lvlText w:val="%5."/>
      <w:lvlJc w:val="left"/>
      <w:pPr>
        <w:ind w:left="1287" w:hanging="567"/>
      </w:pPr>
      <w:rPr>
        <w:rFonts w:hint="default"/>
      </w:rPr>
    </w:lvl>
    <w:lvl w:ilvl="5">
      <w:start w:val="1"/>
      <w:numFmt w:val="lowerRoman"/>
      <w:lvlText w:val="%6."/>
      <w:lvlJc w:val="right"/>
      <w:pPr>
        <w:ind w:left="1287" w:hanging="567"/>
      </w:pPr>
      <w:rPr>
        <w:rFonts w:hint="default"/>
      </w:rPr>
    </w:lvl>
    <w:lvl w:ilvl="6">
      <w:start w:val="1"/>
      <w:numFmt w:val="decimal"/>
      <w:lvlText w:val="%7."/>
      <w:lvlJc w:val="left"/>
      <w:pPr>
        <w:ind w:left="1287" w:hanging="567"/>
      </w:pPr>
      <w:rPr>
        <w:rFonts w:hint="default"/>
      </w:rPr>
    </w:lvl>
    <w:lvl w:ilvl="7">
      <w:start w:val="1"/>
      <w:numFmt w:val="lowerLetter"/>
      <w:lvlText w:val="%8."/>
      <w:lvlJc w:val="left"/>
      <w:pPr>
        <w:ind w:left="1287" w:hanging="567"/>
      </w:pPr>
      <w:rPr>
        <w:rFonts w:hint="default"/>
      </w:rPr>
    </w:lvl>
    <w:lvl w:ilvl="8">
      <w:start w:val="1"/>
      <w:numFmt w:val="lowerRoman"/>
      <w:lvlText w:val="%9."/>
      <w:lvlJc w:val="right"/>
      <w:pPr>
        <w:ind w:left="1287" w:hanging="567"/>
      </w:pPr>
      <w:rPr>
        <w:rFonts w:hint="default"/>
      </w:rPr>
    </w:lvl>
  </w:abstractNum>
  <w:abstractNum w:abstractNumId="10" w15:restartNumberingAfterBreak="0">
    <w:nsid w:val="40FF43D0"/>
    <w:multiLevelType w:val="multilevel"/>
    <w:tmpl w:val="AEC8BE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2514E8F"/>
    <w:multiLevelType w:val="hybridMultilevel"/>
    <w:tmpl w:val="10EEC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801A7C"/>
    <w:multiLevelType w:val="hybridMultilevel"/>
    <w:tmpl w:val="ABDE11FC"/>
    <w:lvl w:ilvl="0" w:tplc="90E4E78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9C526B1"/>
    <w:multiLevelType w:val="hybridMultilevel"/>
    <w:tmpl w:val="41189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61E7339E"/>
    <w:multiLevelType w:val="hybridMultilevel"/>
    <w:tmpl w:val="BF7EFEE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23B482C"/>
    <w:multiLevelType w:val="hybridMultilevel"/>
    <w:tmpl w:val="37CE3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5C2229B"/>
    <w:multiLevelType w:val="hybridMultilevel"/>
    <w:tmpl w:val="BD6EA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DA11B7"/>
    <w:multiLevelType w:val="hybridMultilevel"/>
    <w:tmpl w:val="7BE22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F19237C"/>
    <w:multiLevelType w:val="multilevel"/>
    <w:tmpl w:val="127ED228"/>
    <w:lvl w:ilvl="0">
      <w:start w:val="1"/>
      <w:numFmt w:val="bullet"/>
      <w:lvlText w:val=""/>
      <w:lvlJc w:val="left"/>
      <w:pPr>
        <w:ind w:left="850" w:hanging="425"/>
      </w:pPr>
      <w:rPr>
        <w:rFonts w:ascii="Symbol" w:hAnsi="Symbol" w:hint="default"/>
        <w:color w:val="auto"/>
      </w:rPr>
    </w:lvl>
    <w:lvl w:ilvl="1">
      <w:start w:val="1"/>
      <w:numFmt w:val="lowerLetter"/>
      <w:lvlText w:val="%2)"/>
      <w:lvlJc w:val="left"/>
      <w:pPr>
        <w:ind w:left="1276" w:hanging="426"/>
      </w:pPr>
      <w:rPr>
        <w:rFonts w:hint="default"/>
      </w:rPr>
    </w:lvl>
    <w:lvl w:ilvl="2">
      <w:start w:val="1"/>
      <w:numFmt w:val="lowerRoman"/>
      <w:lvlText w:val="%3)"/>
      <w:lvlJc w:val="left"/>
      <w:pPr>
        <w:ind w:left="1616" w:hanging="340"/>
      </w:pPr>
      <w:rPr>
        <w:rFonts w:hint="default"/>
      </w:rPr>
    </w:lvl>
    <w:lvl w:ilvl="3">
      <w:start w:val="1"/>
      <w:numFmt w:val="decimal"/>
      <w:lvlText w:val="%4."/>
      <w:lvlJc w:val="left"/>
      <w:pPr>
        <w:ind w:left="1701" w:hanging="1276"/>
      </w:pPr>
      <w:rPr>
        <w:rFonts w:hint="default"/>
      </w:rPr>
    </w:lvl>
    <w:lvl w:ilvl="4">
      <w:start w:val="1"/>
      <w:numFmt w:val="lowerLetter"/>
      <w:lvlText w:val="%5."/>
      <w:lvlJc w:val="left"/>
      <w:pPr>
        <w:ind w:left="992" w:hanging="567"/>
      </w:pPr>
      <w:rPr>
        <w:rFonts w:hint="default"/>
      </w:rPr>
    </w:lvl>
    <w:lvl w:ilvl="5">
      <w:start w:val="1"/>
      <w:numFmt w:val="lowerRoman"/>
      <w:lvlText w:val="%6."/>
      <w:lvlJc w:val="right"/>
      <w:pPr>
        <w:ind w:left="992" w:hanging="567"/>
      </w:pPr>
      <w:rPr>
        <w:rFonts w:hint="default"/>
      </w:rPr>
    </w:lvl>
    <w:lvl w:ilvl="6">
      <w:start w:val="1"/>
      <w:numFmt w:val="decimal"/>
      <w:lvlText w:val="%7."/>
      <w:lvlJc w:val="left"/>
      <w:pPr>
        <w:ind w:left="992" w:hanging="567"/>
      </w:pPr>
      <w:rPr>
        <w:rFonts w:hint="default"/>
      </w:rPr>
    </w:lvl>
    <w:lvl w:ilvl="7">
      <w:start w:val="1"/>
      <w:numFmt w:val="lowerLetter"/>
      <w:lvlText w:val="%8."/>
      <w:lvlJc w:val="left"/>
      <w:pPr>
        <w:ind w:left="992" w:hanging="567"/>
      </w:pPr>
      <w:rPr>
        <w:rFonts w:hint="default"/>
      </w:rPr>
    </w:lvl>
    <w:lvl w:ilvl="8">
      <w:start w:val="1"/>
      <w:numFmt w:val="lowerRoman"/>
      <w:lvlText w:val="%9."/>
      <w:lvlJc w:val="right"/>
      <w:pPr>
        <w:ind w:left="992" w:hanging="567"/>
      </w:pPr>
      <w:rPr>
        <w:rFonts w:hint="default"/>
      </w:rPr>
    </w:lvl>
  </w:abstractNum>
  <w:num w:numId="1">
    <w:abstractNumId w:val="2"/>
  </w:num>
  <w:num w:numId="2">
    <w:abstractNumId w:val="15"/>
  </w:num>
  <w:num w:numId="3">
    <w:abstractNumId w:val="16"/>
  </w:num>
  <w:num w:numId="4">
    <w:abstractNumId w:val="13"/>
  </w:num>
  <w:num w:numId="5">
    <w:abstractNumId w:val="4"/>
  </w:num>
  <w:num w:numId="6">
    <w:abstractNumId w:val="17"/>
  </w:num>
  <w:num w:numId="7">
    <w:abstractNumId w:val="6"/>
  </w:num>
  <w:num w:numId="8">
    <w:abstractNumId w:val="1"/>
  </w:num>
  <w:num w:numId="9">
    <w:abstractNumId w:val="20"/>
  </w:num>
  <w:num w:numId="10">
    <w:abstractNumId w:val="7"/>
  </w:num>
  <w:num w:numId="11">
    <w:abstractNumId w:val="3"/>
  </w:num>
  <w:num w:numId="12">
    <w:abstractNumId w:val="12"/>
  </w:num>
  <w:num w:numId="13">
    <w:abstractNumId w:val="11"/>
  </w:num>
  <w:num w:numId="14">
    <w:abstractNumId w:val="8"/>
  </w:num>
  <w:num w:numId="15">
    <w:abstractNumId w:val="21"/>
  </w:num>
  <w:num w:numId="16">
    <w:abstractNumId w:val="4"/>
  </w:num>
  <w:num w:numId="17">
    <w:abstractNumId w:val="4"/>
  </w:num>
  <w:num w:numId="18">
    <w:abstractNumId w:val="4"/>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0"/>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num>
  <w:num w:numId="27">
    <w:abstractNumId w:val="2"/>
  </w:num>
  <w:num w:numId="28">
    <w:abstractNumId w:val="2"/>
  </w:num>
  <w:num w:numId="29">
    <w:abstractNumId w:val="13"/>
  </w:num>
  <w:num w:numId="30">
    <w:abstractNumId w:val="9"/>
  </w:num>
  <w:num w:numId="31">
    <w:abstractNumId w:val="2"/>
  </w:num>
  <w:num w:numId="32">
    <w:abstractNumId w:val="13"/>
  </w:num>
  <w:num w:numId="33">
    <w:abstractNumId w:val="2"/>
  </w:num>
  <w:num w:numId="34">
    <w:abstractNumId w:val="2"/>
  </w:num>
  <w:num w:numId="35">
    <w:abstractNumId w:val="13"/>
  </w:num>
  <w:num w:numId="36">
    <w:abstractNumId w:val="2"/>
  </w:num>
  <w:num w:numId="37">
    <w:abstractNumId w:val="2"/>
  </w:num>
  <w:num w:numId="38">
    <w:abstractNumId w:val="2"/>
  </w:num>
  <w:num w:numId="39">
    <w:abstractNumId w:val="13"/>
  </w:num>
  <w:num w:numId="40">
    <w:abstractNumId w:val="13"/>
  </w:num>
  <w:num w:numId="41">
    <w:abstractNumId w:val="19"/>
  </w:num>
  <w:num w:numId="42">
    <w:abstractNumId w:val="10"/>
  </w:num>
  <w:num w:numId="43">
    <w:abstractNumId w:val="14"/>
  </w:num>
  <w:num w:numId="4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E2"/>
    <w:rsid w:val="00000104"/>
    <w:rsid w:val="00006ED3"/>
    <w:rsid w:val="00011C28"/>
    <w:rsid w:val="0001720D"/>
    <w:rsid w:val="00020428"/>
    <w:rsid w:val="0002179C"/>
    <w:rsid w:val="000227BF"/>
    <w:rsid w:val="000228FD"/>
    <w:rsid w:val="00023926"/>
    <w:rsid w:val="000267C3"/>
    <w:rsid w:val="00032CCF"/>
    <w:rsid w:val="00033169"/>
    <w:rsid w:val="00034CAB"/>
    <w:rsid w:val="000360F1"/>
    <w:rsid w:val="00042C65"/>
    <w:rsid w:val="000435C5"/>
    <w:rsid w:val="00043E7C"/>
    <w:rsid w:val="0005055C"/>
    <w:rsid w:val="00051EA5"/>
    <w:rsid w:val="0005328D"/>
    <w:rsid w:val="00061B93"/>
    <w:rsid w:val="00064973"/>
    <w:rsid w:val="00073492"/>
    <w:rsid w:val="0007583F"/>
    <w:rsid w:val="000767BA"/>
    <w:rsid w:val="00080CDB"/>
    <w:rsid w:val="00084E7C"/>
    <w:rsid w:val="00085214"/>
    <w:rsid w:val="00093555"/>
    <w:rsid w:val="00095B2A"/>
    <w:rsid w:val="00096DF5"/>
    <w:rsid w:val="000A2A7A"/>
    <w:rsid w:val="000A56CF"/>
    <w:rsid w:val="000B5942"/>
    <w:rsid w:val="000B7333"/>
    <w:rsid w:val="000C1DD5"/>
    <w:rsid w:val="000C2EA5"/>
    <w:rsid w:val="000C3EAB"/>
    <w:rsid w:val="000C40EA"/>
    <w:rsid w:val="000C4255"/>
    <w:rsid w:val="000C42C8"/>
    <w:rsid w:val="000C47BA"/>
    <w:rsid w:val="000C4DC8"/>
    <w:rsid w:val="000C724A"/>
    <w:rsid w:val="000C77C7"/>
    <w:rsid w:val="000D21E0"/>
    <w:rsid w:val="000D711E"/>
    <w:rsid w:val="000E14E8"/>
    <w:rsid w:val="000E27A5"/>
    <w:rsid w:val="000E4207"/>
    <w:rsid w:val="000E5804"/>
    <w:rsid w:val="000E5A76"/>
    <w:rsid w:val="000F0685"/>
    <w:rsid w:val="000F11EB"/>
    <w:rsid w:val="000F22CE"/>
    <w:rsid w:val="000F3B71"/>
    <w:rsid w:val="000F4356"/>
    <w:rsid w:val="000F4955"/>
    <w:rsid w:val="000F4E78"/>
    <w:rsid w:val="000F4F83"/>
    <w:rsid w:val="00101EEF"/>
    <w:rsid w:val="00102FC5"/>
    <w:rsid w:val="00105FAE"/>
    <w:rsid w:val="00110FD1"/>
    <w:rsid w:val="0011218D"/>
    <w:rsid w:val="00112F36"/>
    <w:rsid w:val="00115A9E"/>
    <w:rsid w:val="001171C5"/>
    <w:rsid w:val="001241A7"/>
    <w:rsid w:val="00124EAA"/>
    <w:rsid w:val="001311BC"/>
    <w:rsid w:val="00134EA0"/>
    <w:rsid w:val="00136F1D"/>
    <w:rsid w:val="0013709F"/>
    <w:rsid w:val="00140051"/>
    <w:rsid w:val="001403AF"/>
    <w:rsid w:val="00141E9F"/>
    <w:rsid w:val="0014206E"/>
    <w:rsid w:val="00142D08"/>
    <w:rsid w:val="00144015"/>
    <w:rsid w:val="00144AF1"/>
    <w:rsid w:val="00144D67"/>
    <w:rsid w:val="00145A2F"/>
    <w:rsid w:val="00146531"/>
    <w:rsid w:val="00151131"/>
    <w:rsid w:val="00152AB4"/>
    <w:rsid w:val="00152C1B"/>
    <w:rsid w:val="00154400"/>
    <w:rsid w:val="00156316"/>
    <w:rsid w:val="00156AC6"/>
    <w:rsid w:val="001637D6"/>
    <w:rsid w:val="00164601"/>
    <w:rsid w:val="0016553F"/>
    <w:rsid w:val="001667A5"/>
    <w:rsid w:val="00171B4F"/>
    <w:rsid w:val="00171B61"/>
    <w:rsid w:val="00171E68"/>
    <w:rsid w:val="00172D91"/>
    <w:rsid w:val="001741B9"/>
    <w:rsid w:val="0017491E"/>
    <w:rsid w:val="00181370"/>
    <w:rsid w:val="00184BA1"/>
    <w:rsid w:val="00186F88"/>
    <w:rsid w:val="00187F81"/>
    <w:rsid w:val="00190991"/>
    <w:rsid w:val="00191596"/>
    <w:rsid w:val="001919F2"/>
    <w:rsid w:val="00194584"/>
    <w:rsid w:val="001959F1"/>
    <w:rsid w:val="00197229"/>
    <w:rsid w:val="001A26E0"/>
    <w:rsid w:val="001A3044"/>
    <w:rsid w:val="001A365B"/>
    <w:rsid w:val="001A6B02"/>
    <w:rsid w:val="001B0D9D"/>
    <w:rsid w:val="001B183B"/>
    <w:rsid w:val="001B4DAF"/>
    <w:rsid w:val="001B7985"/>
    <w:rsid w:val="001C3924"/>
    <w:rsid w:val="001C4832"/>
    <w:rsid w:val="001C75A9"/>
    <w:rsid w:val="001D29DF"/>
    <w:rsid w:val="001D3D66"/>
    <w:rsid w:val="001E19C2"/>
    <w:rsid w:val="001E2CFE"/>
    <w:rsid w:val="001E4751"/>
    <w:rsid w:val="001E58BE"/>
    <w:rsid w:val="001F1E81"/>
    <w:rsid w:val="001F23B8"/>
    <w:rsid w:val="001F3D7F"/>
    <w:rsid w:val="001F4833"/>
    <w:rsid w:val="001F54CD"/>
    <w:rsid w:val="001F6139"/>
    <w:rsid w:val="001F63A8"/>
    <w:rsid w:val="001F63C9"/>
    <w:rsid w:val="001F67DC"/>
    <w:rsid w:val="002061A6"/>
    <w:rsid w:val="00206227"/>
    <w:rsid w:val="00207783"/>
    <w:rsid w:val="00207C35"/>
    <w:rsid w:val="002116B1"/>
    <w:rsid w:val="002165F5"/>
    <w:rsid w:val="00221E3B"/>
    <w:rsid w:val="002224CD"/>
    <w:rsid w:val="00222FF0"/>
    <w:rsid w:val="00224413"/>
    <w:rsid w:val="00225ED3"/>
    <w:rsid w:val="002269BE"/>
    <w:rsid w:val="00233D7B"/>
    <w:rsid w:val="0023498D"/>
    <w:rsid w:val="00235C8B"/>
    <w:rsid w:val="002402D8"/>
    <w:rsid w:val="00240DEE"/>
    <w:rsid w:val="00244C28"/>
    <w:rsid w:val="0024612A"/>
    <w:rsid w:val="00254887"/>
    <w:rsid w:val="0025561E"/>
    <w:rsid w:val="00257DB8"/>
    <w:rsid w:val="002653FA"/>
    <w:rsid w:val="002668A6"/>
    <w:rsid w:val="002711A5"/>
    <w:rsid w:val="00271F94"/>
    <w:rsid w:val="00273923"/>
    <w:rsid w:val="002873AE"/>
    <w:rsid w:val="00291A65"/>
    <w:rsid w:val="002A1AFB"/>
    <w:rsid w:val="002B36AE"/>
    <w:rsid w:val="002C0601"/>
    <w:rsid w:val="002C115D"/>
    <w:rsid w:val="002C405A"/>
    <w:rsid w:val="002C42E4"/>
    <w:rsid w:val="002D1114"/>
    <w:rsid w:val="002D1FAE"/>
    <w:rsid w:val="002D3452"/>
    <w:rsid w:val="002D3DEA"/>
    <w:rsid w:val="002E29D1"/>
    <w:rsid w:val="002F03B9"/>
    <w:rsid w:val="002F1B03"/>
    <w:rsid w:val="002F34C6"/>
    <w:rsid w:val="002F533E"/>
    <w:rsid w:val="002F7DDE"/>
    <w:rsid w:val="002F7E2E"/>
    <w:rsid w:val="003011C5"/>
    <w:rsid w:val="003043AA"/>
    <w:rsid w:val="00310903"/>
    <w:rsid w:val="0031377C"/>
    <w:rsid w:val="003139DE"/>
    <w:rsid w:val="00314972"/>
    <w:rsid w:val="00320DE1"/>
    <w:rsid w:val="00323951"/>
    <w:rsid w:val="00324BB5"/>
    <w:rsid w:val="00326159"/>
    <w:rsid w:val="00332415"/>
    <w:rsid w:val="003375A1"/>
    <w:rsid w:val="00337E67"/>
    <w:rsid w:val="00341CD0"/>
    <w:rsid w:val="00343E93"/>
    <w:rsid w:val="00346105"/>
    <w:rsid w:val="003475B4"/>
    <w:rsid w:val="003520A0"/>
    <w:rsid w:val="003537A2"/>
    <w:rsid w:val="00355A88"/>
    <w:rsid w:val="00356941"/>
    <w:rsid w:val="00362CD6"/>
    <w:rsid w:val="00364B5D"/>
    <w:rsid w:val="00367DEC"/>
    <w:rsid w:val="003717F0"/>
    <w:rsid w:val="0037298D"/>
    <w:rsid w:val="0037747A"/>
    <w:rsid w:val="00377D97"/>
    <w:rsid w:val="00380C79"/>
    <w:rsid w:val="0038296A"/>
    <w:rsid w:val="00384478"/>
    <w:rsid w:val="00387052"/>
    <w:rsid w:val="003906BB"/>
    <w:rsid w:val="00392954"/>
    <w:rsid w:val="003930E3"/>
    <w:rsid w:val="003971A3"/>
    <w:rsid w:val="003A306C"/>
    <w:rsid w:val="003A6511"/>
    <w:rsid w:val="003A6760"/>
    <w:rsid w:val="003B0ED6"/>
    <w:rsid w:val="003B4ADD"/>
    <w:rsid w:val="003B6338"/>
    <w:rsid w:val="003C09E0"/>
    <w:rsid w:val="003C3179"/>
    <w:rsid w:val="003C359E"/>
    <w:rsid w:val="003C3CE5"/>
    <w:rsid w:val="003C3EE4"/>
    <w:rsid w:val="003D170A"/>
    <w:rsid w:val="003D5AF9"/>
    <w:rsid w:val="003E0D00"/>
    <w:rsid w:val="003E572D"/>
    <w:rsid w:val="003E65CF"/>
    <w:rsid w:val="003E788E"/>
    <w:rsid w:val="003F4360"/>
    <w:rsid w:val="003F516D"/>
    <w:rsid w:val="003F7918"/>
    <w:rsid w:val="00402B2A"/>
    <w:rsid w:val="0040367D"/>
    <w:rsid w:val="00407DB7"/>
    <w:rsid w:val="00410127"/>
    <w:rsid w:val="00410FAB"/>
    <w:rsid w:val="00415DAD"/>
    <w:rsid w:val="00432BE3"/>
    <w:rsid w:val="00433A65"/>
    <w:rsid w:val="00434C3B"/>
    <w:rsid w:val="004443CD"/>
    <w:rsid w:val="004467C9"/>
    <w:rsid w:val="0045054A"/>
    <w:rsid w:val="00452ACA"/>
    <w:rsid w:val="00455DF1"/>
    <w:rsid w:val="00463C01"/>
    <w:rsid w:val="00475399"/>
    <w:rsid w:val="00480F77"/>
    <w:rsid w:val="00481AA0"/>
    <w:rsid w:val="00482932"/>
    <w:rsid w:val="0048336E"/>
    <w:rsid w:val="00483E72"/>
    <w:rsid w:val="00486709"/>
    <w:rsid w:val="004916F3"/>
    <w:rsid w:val="00491887"/>
    <w:rsid w:val="00493ADB"/>
    <w:rsid w:val="00496E82"/>
    <w:rsid w:val="004A55D5"/>
    <w:rsid w:val="004A757A"/>
    <w:rsid w:val="004B0164"/>
    <w:rsid w:val="004B1415"/>
    <w:rsid w:val="004C7C16"/>
    <w:rsid w:val="004C7CCD"/>
    <w:rsid w:val="004D20BB"/>
    <w:rsid w:val="004D7F4D"/>
    <w:rsid w:val="004E1A56"/>
    <w:rsid w:val="004E373F"/>
    <w:rsid w:val="004E6572"/>
    <w:rsid w:val="004E6783"/>
    <w:rsid w:val="004E762B"/>
    <w:rsid w:val="004E7C3A"/>
    <w:rsid w:val="004F0303"/>
    <w:rsid w:val="00501774"/>
    <w:rsid w:val="00503E67"/>
    <w:rsid w:val="0052153B"/>
    <w:rsid w:val="0052545A"/>
    <w:rsid w:val="00525983"/>
    <w:rsid w:val="0053261E"/>
    <w:rsid w:val="00533639"/>
    <w:rsid w:val="00541811"/>
    <w:rsid w:val="00543B4A"/>
    <w:rsid w:val="0055163B"/>
    <w:rsid w:val="005557F3"/>
    <w:rsid w:val="00560A53"/>
    <w:rsid w:val="00560AAE"/>
    <w:rsid w:val="00561669"/>
    <w:rsid w:val="00562E1E"/>
    <w:rsid w:val="005667BC"/>
    <w:rsid w:val="00567811"/>
    <w:rsid w:val="00571D2F"/>
    <w:rsid w:val="0058113B"/>
    <w:rsid w:val="005828C7"/>
    <w:rsid w:val="00582A71"/>
    <w:rsid w:val="0058635F"/>
    <w:rsid w:val="00587B24"/>
    <w:rsid w:val="00596B79"/>
    <w:rsid w:val="005A4115"/>
    <w:rsid w:val="005A4A85"/>
    <w:rsid w:val="005A62D2"/>
    <w:rsid w:val="005B260D"/>
    <w:rsid w:val="005B4723"/>
    <w:rsid w:val="005B4ACE"/>
    <w:rsid w:val="005B69ED"/>
    <w:rsid w:val="005B7D36"/>
    <w:rsid w:val="005C2BEF"/>
    <w:rsid w:val="005C3FAB"/>
    <w:rsid w:val="005C64B5"/>
    <w:rsid w:val="005D2F26"/>
    <w:rsid w:val="005D3417"/>
    <w:rsid w:val="005D5FB4"/>
    <w:rsid w:val="005D6506"/>
    <w:rsid w:val="005E205B"/>
    <w:rsid w:val="005E5E8F"/>
    <w:rsid w:val="005F19CF"/>
    <w:rsid w:val="005F433B"/>
    <w:rsid w:val="005F71D5"/>
    <w:rsid w:val="00606711"/>
    <w:rsid w:val="006101B2"/>
    <w:rsid w:val="0061257E"/>
    <w:rsid w:val="00624691"/>
    <w:rsid w:val="006317CC"/>
    <w:rsid w:val="006341BA"/>
    <w:rsid w:val="00634DFF"/>
    <w:rsid w:val="00645785"/>
    <w:rsid w:val="006457C9"/>
    <w:rsid w:val="00646062"/>
    <w:rsid w:val="00646E00"/>
    <w:rsid w:val="006500AA"/>
    <w:rsid w:val="00650668"/>
    <w:rsid w:val="00650DF0"/>
    <w:rsid w:val="00660933"/>
    <w:rsid w:val="00666051"/>
    <w:rsid w:val="0067023D"/>
    <w:rsid w:val="0067063C"/>
    <w:rsid w:val="0067152B"/>
    <w:rsid w:val="00672390"/>
    <w:rsid w:val="00693017"/>
    <w:rsid w:val="00693497"/>
    <w:rsid w:val="006948D1"/>
    <w:rsid w:val="00697383"/>
    <w:rsid w:val="006A0A3B"/>
    <w:rsid w:val="006A1052"/>
    <w:rsid w:val="006A1EF8"/>
    <w:rsid w:val="006A2080"/>
    <w:rsid w:val="006A5425"/>
    <w:rsid w:val="006A5C77"/>
    <w:rsid w:val="006A6D81"/>
    <w:rsid w:val="006B057B"/>
    <w:rsid w:val="006B17EE"/>
    <w:rsid w:val="006B3025"/>
    <w:rsid w:val="006C1901"/>
    <w:rsid w:val="006C30B8"/>
    <w:rsid w:val="006C4798"/>
    <w:rsid w:val="006D0FD2"/>
    <w:rsid w:val="006D398D"/>
    <w:rsid w:val="006D3CEE"/>
    <w:rsid w:val="006D5317"/>
    <w:rsid w:val="006E2258"/>
    <w:rsid w:val="006E5C32"/>
    <w:rsid w:val="006F171A"/>
    <w:rsid w:val="006F283C"/>
    <w:rsid w:val="006F4FF8"/>
    <w:rsid w:val="00701AFD"/>
    <w:rsid w:val="00701B76"/>
    <w:rsid w:val="00702754"/>
    <w:rsid w:val="0070298D"/>
    <w:rsid w:val="00707653"/>
    <w:rsid w:val="00721812"/>
    <w:rsid w:val="00723D4E"/>
    <w:rsid w:val="007318B0"/>
    <w:rsid w:val="0074009F"/>
    <w:rsid w:val="007423DF"/>
    <w:rsid w:val="00743553"/>
    <w:rsid w:val="0074655A"/>
    <w:rsid w:val="007465E1"/>
    <w:rsid w:val="0075139E"/>
    <w:rsid w:val="00751CA8"/>
    <w:rsid w:val="00753B2D"/>
    <w:rsid w:val="0076179F"/>
    <w:rsid w:val="0076283D"/>
    <w:rsid w:val="0076392D"/>
    <w:rsid w:val="00766539"/>
    <w:rsid w:val="007670EB"/>
    <w:rsid w:val="0076775B"/>
    <w:rsid w:val="00770DFF"/>
    <w:rsid w:val="00781535"/>
    <w:rsid w:val="00781AE7"/>
    <w:rsid w:val="00782353"/>
    <w:rsid w:val="00782498"/>
    <w:rsid w:val="00783A94"/>
    <w:rsid w:val="007861BD"/>
    <w:rsid w:val="00786C66"/>
    <w:rsid w:val="00791BB3"/>
    <w:rsid w:val="00793764"/>
    <w:rsid w:val="0079442A"/>
    <w:rsid w:val="00796537"/>
    <w:rsid w:val="007975B9"/>
    <w:rsid w:val="007A0550"/>
    <w:rsid w:val="007A486E"/>
    <w:rsid w:val="007A58FA"/>
    <w:rsid w:val="007A6C34"/>
    <w:rsid w:val="007A7EDF"/>
    <w:rsid w:val="007B7AD6"/>
    <w:rsid w:val="007C14B2"/>
    <w:rsid w:val="007C2048"/>
    <w:rsid w:val="007C3121"/>
    <w:rsid w:val="007C4F5A"/>
    <w:rsid w:val="007D3900"/>
    <w:rsid w:val="007D40E3"/>
    <w:rsid w:val="007D47FD"/>
    <w:rsid w:val="007D532C"/>
    <w:rsid w:val="007D5B8D"/>
    <w:rsid w:val="007D5CB5"/>
    <w:rsid w:val="007D666F"/>
    <w:rsid w:val="007E1842"/>
    <w:rsid w:val="007E433D"/>
    <w:rsid w:val="007E5870"/>
    <w:rsid w:val="007E6F54"/>
    <w:rsid w:val="007F01E3"/>
    <w:rsid w:val="007F1765"/>
    <w:rsid w:val="008001C6"/>
    <w:rsid w:val="00805A92"/>
    <w:rsid w:val="00806957"/>
    <w:rsid w:val="0080745B"/>
    <w:rsid w:val="00810405"/>
    <w:rsid w:val="008150B9"/>
    <w:rsid w:val="0081514E"/>
    <w:rsid w:val="00820CE2"/>
    <w:rsid w:val="008220DC"/>
    <w:rsid w:val="00822710"/>
    <w:rsid w:val="00824F18"/>
    <w:rsid w:val="0083690A"/>
    <w:rsid w:val="0083735B"/>
    <w:rsid w:val="0084215E"/>
    <w:rsid w:val="00845F00"/>
    <w:rsid w:val="00850247"/>
    <w:rsid w:val="008502A7"/>
    <w:rsid w:val="008556C2"/>
    <w:rsid w:val="00865300"/>
    <w:rsid w:val="00867853"/>
    <w:rsid w:val="00871569"/>
    <w:rsid w:val="00873995"/>
    <w:rsid w:val="00873DD1"/>
    <w:rsid w:val="00875023"/>
    <w:rsid w:val="00887206"/>
    <w:rsid w:val="00890B80"/>
    <w:rsid w:val="00892CD0"/>
    <w:rsid w:val="008A2166"/>
    <w:rsid w:val="008A7481"/>
    <w:rsid w:val="008B0A46"/>
    <w:rsid w:val="008B0F09"/>
    <w:rsid w:val="008B1324"/>
    <w:rsid w:val="008B1BD5"/>
    <w:rsid w:val="008B272A"/>
    <w:rsid w:val="008B3683"/>
    <w:rsid w:val="008B36CF"/>
    <w:rsid w:val="008C3308"/>
    <w:rsid w:val="008C3586"/>
    <w:rsid w:val="008C3A8D"/>
    <w:rsid w:val="008C463B"/>
    <w:rsid w:val="008C4C0D"/>
    <w:rsid w:val="008C5B36"/>
    <w:rsid w:val="008D2A59"/>
    <w:rsid w:val="008D3275"/>
    <w:rsid w:val="008D77A1"/>
    <w:rsid w:val="008D7B1F"/>
    <w:rsid w:val="008E3878"/>
    <w:rsid w:val="008E5692"/>
    <w:rsid w:val="008F1617"/>
    <w:rsid w:val="008F2D92"/>
    <w:rsid w:val="008F37D4"/>
    <w:rsid w:val="008F5204"/>
    <w:rsid w:val="008F67AA"/>
    <w:rsid w:val="008F6A4A"/>
    <w:rsid w:val="009059CE"/>
    <w:rsid w:val="0091092F"/>
    <w:rsid w:val="0091268C"/>
    <w:rsid w:val="00913A84"/>
    <w:rsid w:val="00921EFF"/>
    <w:rsid w:val="009224FE"/>
    <w:rsid w:val="0092331A"/>
    <w:rsid w:val="0092404F"/>
    <w:rsid w:val="00930A52"/>
    <w:rsid w:val="00934C46"/>
    <w:rsid w:val="00937800"/>
    <w:rsid w:val="0094335A"/>
    <w:rsid w:val="00943CB1"/>
    <w:rsid w:val="00944F64"/>
    <w:rsid w:val="0095309D"/>
    <w:rsid w:val="0095528E"/>
    <w:rsid w:val="00956036"/>
    <w:rsid w:val="0095702D"/>
    <w:rsid w:val="009571C8"/>
    <w:rsid w:val="00961550"/>
    <w:rsid w:val="00963F9E"/>
    <w:rsid w:val="00964533"/>
    <w:rsid w:val="009657CD"/>
    <w:rsid w:val="009717DD"/>
    <w:rsid w:val="00972B1F"/>
    <w:rsid w:val="00972F97"/>
    <w:rsid w:val="00974327"/>
    <w:rsid w:val="0097457E"/>
    <w:rsid w:val="00981A68"/>
    <w:rsid w:val="009833D3"/>
    <w:rsid w:val="00983DDB"/>
    <w:rsid w:val="009852C9"/>
    <w:rsid w:val="00986472"/>
    <w:rsid w:val="00995072"/>
    <w:rsid w:val="009A097E"/>
    <w:rsid w:val="009A52B9"/>
    <w:rsid w:val="009A75BD"/>
    <w:rsid w:val="009B1D51"/>
    <w:rsid w:val="009B76A9"/>
    <w:rsid w:val="009C4570"/>
    <w:rsid w:val="009C4A3C"/>
    <w:rsid w:val="009D4FE5"/>
    <w:rsid w:val="009D506E"/>
    <w:rsid w:val="009E1901"/>
    <w:rsid w:val="009E1F71"/>
    <w:rsid w:val="009E56C5"/>
    <w:rsid w:val="009E6220"/>
    <w:rsid w:val="009E7A3A"/>
    <w:rsid w:val="009F2B17"/>
    <w:rsid w:val="009F42D0"/>
    <w:rsid w:val="009F502D"/>
    <w:rsid w:val="009F5EED"/>
    <w:rsid w:val="009F64C3"/>
    <w:rsid w:val="009F69E2"/>
    <w:rsid w:val="00A029D7"/>
    <w:rsid w:val="00A03A56"/>
    <w:rsid w:val="00A045E0"/>
    <w:rsid w:val="00A04C73"/>
    <w:rsid w:val="00A05B3A"/>
    <w:rsid w:val="00A06667"/>
    <w:rsid w:val="00A072D7"/>
    <w:rsid w:val="00A13A4F"/>
    <w:rsid w:val="00A15D95"/>
    <w:rsid w:val="00A2043D"/>
    <w:rsid w:val="00A2173F"/>
    <w:rsid w:val="00A221EF"/>
    <w:rsid w:val="00A2244B"/>
    <w:rsid w:val="00A22F82"/>
    <w:rsid w:val="00A232FD"/>
    <w:rsid w:val="00A2440F"/>
    <w:rsid w:val="00A254CC"/>
    <w:rsid w:val="00A268C2"/>
    <w:rsid w:val="00A30B1D"/>
    <w:rsid w:val="00A33941"/>
    <w:rsid w:val="00A37B3B"/>
    <w:rsid w:val="00A45886"/>
    <w:rsid w:val="00A47EEE"/>
    <w:rsid w:val="00A519C0"/>
    <w:rsid w:val="00A519E2"/>
    <w:rsid w:val="00A52DB0"/>
    <w:rsid w:val="00A57341"/>
    <w:rsid w:val="00A60490"/>
    <w:rsid w:val="00A66CC4"/>
    <w:rsid w:val="00A74AC0"/>
    <w:rsid w:val="00A76EB6"/>
    <w:rsid w:val="00A802B8"/>
    <w:rsid w:val="00A80EF0"/>
    <w:rsid w:val="00A8743D"/>
    <w:rsid w:val="00A90C2A"/>
    <w:rsid w:val="00A93947"/>
    <w:rsid w:val="00A94004"/>
    <w:rsid w:val="00A978BD"/>
    <w:rsid w:val="00AA3DB4"/>
    <w:rsid w:val="00AB1961"/>
    <w:rsid w:val="00AB3B81"/>
    <w:rsid w:val="00AB5B52"/>
    <w:rsid w:val="00AB5CE0"/>
    <w:rsid w:val="00AB6A49"/>
    <w:rsid w:val="00AC00F4"/>
    <w:rsid w:val="00AC2545"/>
    <w:rsid w:val="00AD0053"/>
    <w:rsid w:val="00AD00BB"/>
    <w:rsid w:val="00AD15BD"/>
    <w:rsid w:val="00AD1CCA"/>
    <w:rsid w:val="00AD5576"/>
    <w:rsid w:val="00AD7C81"/>
    <w:rsid w:val="00AE5F5F"/>
    <w:rsid w:val="00AE67D1"/>
    <w:rsid w:val="00AF233B"/>
    <w:rsid w:val="00AF3D21"/>
    <w:rsid w:val="00AF4FF3"/>
    <w:rsid w:val="00AF77DA"/>
    <w:rsid w:val="00AF7B98"/>
    <w:rsid w:val="00B07395"/>
    <w:rsid w:val="00B07CBD"/>
    <w:rsid w:val="00B119E0"/>
    <w:rsid w:val="00B1392D"/>
    <w:rsid w:val="00B15B92"/>
    <w:rsid w:val="00B16208"/>
    <w:rsid w:val="00B166BB"/>
    <w:rsid w:val="00B207DD"/>
    <w:rsid w:val="00B208B7"/>
    <w:rsid w:val="00B31E82"/>
    <w:rsid w:val="00B32A9A"/>
    <w:rsid w:val="00B33B63"/>
    <w:rsid w:val="00B372DE"/>
    <w:rsid w:val="00B37CBB"/>
    <w:rsid w:val="00B43478"/>
    <w:rsid w:val="00B43A2C"/>
    <w:rsid w:val="00B44E95"/>
    <w:rsid w:val="00B478B8"/>
    <w:rsid w:val="00B5007B"/>
    <w:rsid w:val="00B50C27"/>
    <w:rsid w:val="00B51331"/>
    <w:rsid w:val="00B56A95"/>
    <w:rsid w:val="00B60831"/>
    <w:rsid w:val="00B60C6E"/>
    <w:rsid w:val="00B6102C"/>
    <w:rsid w:val="00B62AA6"/>
    <w:rsid w:val="00B62C99"/>
    <w:rsid w:val="00B63622"/>
    <w:rsid w:val="00B63A21"/>
    <w:rsid w:val="00B63BCE"/>
    <w:rsid w:val="00B67B77"/>
    <w:rsid w:val="00B731F6"/>
    <w:rsid w:val="00B7516D"/>
    <w:rsid w:val="00B764ED"/>
    <w:rsid w:val="00B76CE4"/>
    <w:rsid w:val="00B802B7"/>
    <w:rsid w:val="00B81C83"/>
    <w:rsid w:val="00B83C0D"/>
    <w:rsid w:val="00B83DE0"/>
    <w:rsid w:val="00B83FA3"/>
    <w:rsid w:val="00B910D4"/>
    <w:rsid w:val="00B9540A"/>
    <w:rsid w:val="00B954D8"/>
    <w:rsid w:val="00BA468C"/>
    <w:rsid w:val="00BA4795"/>
    <w:rsid w:val="00BB0814"/>
    <w:rsid w:val="00BB13F0"/>
    <w:rsid w:val="00BB25A9"/>
    <w:rsid w:val="00BB3855"/>
    <w:rsid w:val="00BB3A61"/>
    <w:rsid w:val="00BB4E97"/>
    <w:rsid w:val="00BB4F81"/>
    <w:rsid w:val="00BB62CB"/>
    <w:rsid w:val="00BC18F4"/>
    <w:rsid w:val="00BC43DD"/>
    <w:rsid w:val="00BC60EC"/>
    <w:rsid w:val="00BC75AA"/>
    <w:rsid w:val="00BD0F11"/>
    <w:rsid w:val="00BD12CC"/>
    <w:rsid w:val="00BD5A22"/>
    <w:rsid w:val="00BD5FF0"/>
    <w:rsid w:val="00BE15AD"/>
    <w:rsid w:val="00BE5368"/>
    <w:rsid w:val="00BE6470"/>
    <w:rsid w:val="00BE7EAD"/>
    <w:rsid w:val="00BF0125"/>
    <w:rsid w:val="00BF0538"/>
    <w:rsid w:val="00BF2C3A"/>
    <w:rsid w:val="00BF2EB5"/>
    <w:rsid w:val="00BF3A0A"/>
    <w:rsid w:val="00C00C27"/>
    <w:rsid w:val="00C02D7D"/>
    <w:rsid w:val="00C104D9"/>
    <w:rsid w:val="00C133DC"/>
    <w:rsid w:val="00C17E03"/>
    <w:rsid w:val="00C269E0"/>
    <w:rsid w:val="00C31167"/>
    <w:rsid w:val="00C342B5"/>
    <w:rsid w:val="00C35C34"/>
    <w:rsid w:val="00C3708E"/>
    <w:rsid w:val="00C479D9"/>
    <w:rsid w:val="00C47E0F"/>
    <w:rsid w:val="00C513DD"/>
    <w:rsid w:val="00C5274E"/>
    <w:rsid w:val="00C6080B"/>
    <w:rsid w:val="00C6120C"/>
    <w:rsid w:val="00C65C20"/>
    <w:rsid w:val="00C65DDE"/>
    <w:rsid w:val="00C726C1"/>
    <w:rsid w:val="00C72AA5"/>
    <w:rsid w:val="00C76810"/>
    <w:rsid w:val="00C77E1F"/>
    <w:rsid w:val="00C82FF8"/>
    <w:rsid w:val="00C87DD6"/>
    <w:rsid w:val="00C966CC"/>
    <w:rsid w:val="00C9720C"/>
    <w:rsid w:val="00CA0A31"/>
    <w:rsid w:val="00CA3F80"/>
    <w:rsid w:val="00CB2D4E"/>
    <w:rsid w:val="00CC2881"/>
    <w:rsid w:val="00CC3779"/>
    <w:rsid w:val="00CC3E1B"/>
    <w:rsid w:val="00CC7AB5"/>
    <w:rsid w:val="00CD0C01"/>
    <w:rsid w:val="00CD1596"/>
    <w:rsid w:val="00CD259D"/>
    <w:rsid w:val="00CD45D7"/>
    <w:rsid w:val="00CD68DD"/>
    <w:rsid w:val="00CE07F1"/>
    <w:rsid w:val="00CE1304"/>
    <w:rsid w:val="00CE57BB"/>
    <w:rsid w:val="00CF07FB"/>
    <w:rsid w:val="00CF3938"/>
    <w:rsid w:val="00CF5B5B"/>
    <w:rsid w:val="00D043E4"/>
    <w:rsid w:val="00D046E2"/>
    <w:rsid w:val="00D132C3"/>
    <w:rsid w:val="00D16334"/>
    <w:rsid w:val="00D20816"/>
    <w:rsid w:val="00D233F8"/>
    <w:rsid w:val="00D25EB1"/>
    <w:rsid w:val="00D26196"/>
    <w:rsid w:val="00D261B7"/>
    <w:rsid w:val="00D41357"/>
    <w:rsid w:val="00D4450B"/>
    <w:rsid w:val="00D454A7"/>
    <w:rsid w:val="00D45FCD"/>
    <w:rsid w:val="00D60441"/>
    <w:rsid w:val="00D60A37"/>
    <w:rsid w:val="00D60B63"/>
    <w:rsid w:val="00D63A45"/>
    <w:rsid w:val="00D7464C"/>
    <w:rsid w:val="00D75874"/>
    <w:rsid w:val="00D75A83"/>
    <w:rsid w:val="00D80FC0"/>
    <w:rsid w:val="00D83C16"/>
    <w:rsid w:val="00D855F2"/>
    <w:rsid w:val="00DA2748"/>
    <w:rsid w:val="00DA3C97"/>
    <w:rsid w:val="00DA594A"/>
    <w:rsid w:val="00DA6F15"/>
    <w:rsid w:val="00DB4499"/>
    <w:rsid w:val="00DB54D7"/>
    <w:rsid w:val="00DB62EF"/>
    <w:rsid w:val="00DC1BE5"/>
    <w:rsid w:val="00DC2610"/>
    <w:rsid w:val="00DC6335"/>
    <w:rsid w:val="00DD78BE"/>
    <w:rsid w:val="00DD79DC"/>
    <w:rsid w:val="00DE0CA3"/>
    <w:rsid w:val="00DE2863"/>
    <w:rsid w:val="00DE4D64"/>
    <w:rsid w:val="00DF3A88"/>
    <w:rsid w:val="00DF4095"/>
    <w:rsid w:val="00DF4624"/>
    <w:rsid w:val="00DF4875"/>
    <w:rsid w:val="00DF58AB"/>
    <w:rsid w:val="00DF5BC5"/>
    <w:rsid w:val="00E053F0"/>
    <w:rsid w:val="00E1089B"/>
    <w:rsid w:val="00E2552D"/>
    <w:rsid w:val="00E255A5"/>
    <w:rsid w:val="00E30004"/>
    <w:rsid w:val="00E319E8"/>
    <w:rsid w:val="00E3525D"/>
    <w:rsid w:val="00E3599D"/>
    <w:rsid w:val="00E41FE6"/>
    <w:rsid w:val="00E43033"/>
    <w:rsid w:val="00E4410A"/>
    <w:rsid w:val="00E44339"/>
    <w:rsid w:val="00E46322"/>
    <w:rsid w:val="00E51464"/>
    <w:rsid w:val="00E51610"/>
    <w:rsid w:val="00E56001"/>
    <w:rsid w:val="00E56080"/>
    <w:rsid w:val="00E60756"/>
    <w:rsid w:val="00E63A75"/>
    <w:rsid w:val="00E65262"/>
    <w:rsid w:val="00E72BE7"/>
    <w:rsid w:val="00E74EE4"/>
    <w:rsid w:val="00E77315"/>
    <w:rsid w:val="00E80DCE"/>
    <w:rsid w:val="00E81620"/>
    <w:rsid w:val="00E81EAF"/>
    <w:rsid w:val="00E8501F"/>
    <w:rsid w:val="00E87E88"/>
    <w:rsid w:val="00E91FBC"/>
    <w:rsid w:val="00E97C0A"/>
    <w:rsid w:val="00EA2D15"/>
    <w:rsid w:val="00EA3E2D"/>
    <w:rsid w:val="00EA69F8"/>
    <w:rsid w:val="00EB40BB"/>
    <w:rsid w:val="00EB4BC8"/>
    <w:rsid w:val="00EB544E"/>
    <w:rsid w:val="00EB67F0"/>
    <w:rsid w:val="00EC2B9E"/>
    <w:rsid w:val="00EC5D25"/>
    <w:rsid w:val="00ED0B6C"/>
    <w:rsid w:val="00ED0E9D"/>
    <w:rsid w:val="00ED1D70"/>
    <w:rsid w:val="00ED2142"/>
    <w:rsid w:val="00ED22CD"/>
    <w:rsid w:val="00ED302C"/>
    <w:rsid w:val="00ED3293"/>
    <w:rsid w:val="00ED4140"/>
    <w:rsid w:val="00EE0180"/>
    <w:rsid w:val="00EE7B98"/>
    <w:rsid w:val="00EF066D"/>
    <w:rsid w:val="00EF1424"/>
    <w:rsid w:val="00EF3FB7"/>
    <w:rsid w:val="00EF6874"/>
    <w:rsid w:val="00F06C8B"/>
    <w:rsid w:val="00F104B2"/>
    <w:rsid w:val="00F132B1"/>
    <w:rsid w:val="00F15CF1"/>
    <w:rsid w:val="00F16DD6"/>
    <w:rsid w:val="00F20AEA"/>
    <w:rsid w:val="00F21A07"/>
    <w:rsid w:val="00F231C5"/>
    <w:rsid w:val="00F258D1"/>
    <w:rsid w:val="00F25C8F"/>
    <w:rsid w:val="00F26BCF"/>
    <w:rsid w:val="00F26DB6"/>
    <w:rsid w:val="00F36C49"/>
    <w:rsid w:val="00F414D4"/>
    <w:rsid w:val="00F4329A"/>
    <w:rsid w:val="00F4400C"/>
    <w:rsid w:val="00F457B7"/>
    <w:rsid w:val="00F50FE3"/>
    <w:rsid w:val="00F529F3"/>
    <w:rsid w:val="00F55E8D"/>
    <w:rsid w:val="00F57C05"/>
    <w:rsid w:val="00F607E6"/>
    <w:rsid w:val="00F62D8D"/>
    <w:rsid w:val="00F62F58"/>
    <w:rsid w:val="00F6594A"/>
    <w:rsid w:val="00F72082"/>
    <w:rsid w:val="00F73A5C"/>
    <w:rsid w:val="00F75098"/>
    <w:rsid w:val="00F82E5A"/>
    <w:rsid w:val="00F9305C"/>
    <w:rsid w:val="00F930F5"/>
    <w:rsid w:val="00F9484B"/>
    <w:rsid w:val="00F9578A"/>
    <w:rsid w:val="00F974F3"/>
    <w:rsid w:val="00FA143E"/>
    <w:rsid w:val="00FA1811"/>
    <w:rsid w:val="00FA24ED"/>
    <w:rsid w:val="00FA2792"/>
    <w:rsid w:val="00FA2E3C"/>
    <w:rsid w:val="00FA3138"/>
    <w:rsid w:val="00FA5E83"/>
    <w:rsid w:val="00FA66BA"/>
    <w:rsid w:val="00FA77C5"/>
    <w:rsid w:val="00FB169C"/>
    <w:rsid w:val="00FB5350"/>
    <w:rsid w:val="00FC016D"/>
    <w:rsid w:val="00FC0173"/>
    <w:rsid w:val="00FC1343"/>
    <w:rsid w:val="00FC162F"/>
    <w:rsid w:val="00FC5192"/>
    <w:rsid w:val="00FC6640"/>
    <w:rsid w:val="00FC7865"/>
    <w:rsid w:val="00FD2EAF"/>
    <w:rsid w:val="00FD3619"/>
    <w:rsid w:val="00FD4FE1"/>
    <w:rsid w:val="00FD54C6"/>
    <w:rsid w:val="00FE2313"/>
    <w:rsid w:val="00FE2DE9"/>
    <w:rsid w:val="00FE4D89"/>
    <w:rsid w:val="00FF10B1"/>
    <w:rsid w:val="00FF1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E174"/>
  <w15:docId w15:val="{E4BDAE4A-D3F4-4AB0-BA0D-1A5F58BD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CE"/>
  </w:style>
  <w:style w:type="paragraph" w:styleId="Heading1">
    <w:name w:val="heading 1"/>
    <w:basedOn w:val="Normal"/>
    <w:next w:val="Normal"/>
    <w:link w:val="Heading1Char"/>
    <w:uiPriority w:val="9"/>
    <w:qFormat/>
    <w:rsid w:val="00FB169C"/>
    <w:pPr>
      <w:spacing w:after="120"/>
      <w:outlineLvl w:val="0"/>
    </w:pPr>
    <w:rPr>
      <w:rFonts w:asciiTheme="majorHAnsi" w:eastAsiaTheme="majorEastAsia" w:hAnsiTheme="majorHAnsi" w:cstheme="majorBidi"/>
      <w:color w:val="004B88"/>
      <w:sz w:val="52"/>
      <w:szCs w:val="52"/>
    </w:rPr>
  </w:style>
  <w:style w:type="paragraph" w:styleId="Heading2">
    <w:name w:val="heading 2"/>
    <w:basedOn w:val="Normal"/>
    <w:next w:val="Normal"/>
    <w:link w:val="Heading2Char"/>
    <w:uiPriority w:val="9"/>
    <w:unhideWhenUsed/>
    <w:qFormat/>
    <w:rsid w:val="00FB169C"/>
    <w:pPr>
      <w:spacing w:after="120"/>
      <w:outlineLvl w:val="1"/>
    </w:pPr>
    <w:rPr>
      <w:rFonts w:asciiTheme="majorHAnsi" w:eastAsiaTheme="majorEastAsia" w:hAnsiTheme="majorHAnsi" w:cstheme="majorBidi"/>
      <w:b/>
      <w:color w:val="004B88"/>
      <w:sz w:val="28"/>
      <w:szCs w:val="28"/>
    </w:rPr>
  </w:style>
  <w:style w:type="paragraph" w:styleId="Heading4">
    <w:name w:val="heading 4"/>
    <w:basedOn w:val="Normal"/>
    <w:next w:val="Normal"/>
    <w:link w:val="Heading4Char"/>
    <w:uiPriority w:val="9"/>
    <w:semiHidden/>
    <w:unhideWhenUsed/>
    <w:qFormat/>
    <w:rsid w:val="0091092F"/>
    <w:pPr>
      <w:keepNext/>
      <w:keepLines/>
      <w:spacing w:before="40" w:after="0"/>
      <w:outlineLvl w:val="3"/>
    </w:pPr>
    <w:rPr>
      <w:rFonts w:asciiTheme="majorHAnsi" w:eastAsiaTheme="majorEastAsia" w:hAnsiTheme="majorHAnsi" w:cstheme="majorBidi"/>
      <w:i/>
      <w:iCs/>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Tier 1 Bullet,Bullet List,List Paragraph 1"/>
    <w:basedOn w:val="Normal"/>
    <w:link w:val="ListParagraphChar"/>
    <w:uiPriority w:val="34"/>
    <w:qFormat/>
    <w:rsid w:val="00D046E2"/>
    <w:pPr>
      <w:ind w:left="720"/>
      <w:contextualSpacing/>
    </w:pPr>
  </w:style>
  <w:style w:type="character" w:styleId="Hyperlink">
    <w:name w:val="Hyperlink"/>
    <w:basedOn w:val="DefaultParagraphFont"/>
    <w:uiPriority w:val="99"/>
    <w:unhideWhenUsed/>
    <w:rsid w:val="00EB4BC8"/>
    <w:rPr>
      <w:color w:val="004B88"/>
      <w:u w:val="single"/>
    </w:rPr>
  </w:style>
  <w:style w:type="paragraph" w:styleId="Header">
    <w:name w:val="header"/>
    <w:basedOn w:val="Normal"/>
    <w:link w:val="HeaderChar"/>
    <w:uiPriority w:val="26"/>
    <w:unhideWhenUsed/>
    <w:rsid w:val="00F75098"/>
    <w:pPr>
      <w:tabs>
        <w:tab w:val="center" w:pos="4680"/>
        <w:tab w:val="right" w:pos="9360"/>
      </w:tabs>
      <w:spacing w:after="0" w:line="240" w:lineRule="auto"/>
    </w:pPr>
  </w:style>
  <w:style w:type="character" w:customStyle="1" w:styleId="HeaderChar">
    <w:name w:val="Header Char"/>
    <w:basedOn w:val="DefaultParagraphFont"/>
    <w:link w:val="Header"/>
    <w:uiPriority w:val="26"/>
    <w:rsid w:val="00F75098"/>
  </w:style>
  <w:style w:type="paragraph" w:styleId="Footer">
    <w:name w:val="footer"/>
    <w:basedOn w:val="Normal"/>
    <w:link w:val="FooterChar"/>
    <w:uiPriority w:val="27"/>
    <w:unhideWhenUsed/>
    <w:rsid w:val="00F75098"/>
    <w:pPr>
      <w:tabs>
        <w:tab w:val="center" w:pos="4680"/>
        <w:tab w:val="right" w:pos="9360"/>
      </w:tabs>
      <w:spacing w:after="0" w:line="240" w:lineRule="auto"/>
    </w:pPr>
  </w:style>
  <w:style w:type="character" w:customStyle="1" w:styleId="FooterChar">
    <w:name w:val="Footer Char"/>
    <w:basedOn w:val="DefaultParagraphFont"/>
    <w:link w:val="Footer"/>
    <w:uiPriority w:val="27"/>
    <w:rsid w:val="00F75098"/>
  </w:style>
  <w:style w:type="paragraph" w:styleId="NormalWeb">
    <w:name w:val="Normal (Web)"/>
    <w:basedOn w:val="Normal"/>
    <w:uiPriority w:val="99"/>
    <w:unhideWhenUsed/>
    <w:rsid w:val="00F50F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F4E78"/>
    <w:rPr>
      <w:sz w:val="16"/>
      <w:szCs w:val="16"/>
    </w:rPr>
  </w:style>
  <w:style w:type="paragraph" w:styleId="CommentText">
    <w:name w:val="annotation text"/>
    <w:basedOn w:val="Normal"/>
    <w:link w:val="CommentTextChar"/>
    <w:uiPriority w:val="99"/>
    <w:unhideWhenUsed/>
    <w:rsid w:val="000F4E78"/>
    <w:pPr>
      <w:spacing w:line="240" w:lineRule="auto"/>
    </w:pPr>
    <w:rPr>
      <w:sz w:val="20"/>
      <w:szCs w:val="20"/>
    </w:rPr>
  </w:style>
  <w:style w:type="character" w:customStyle="1" w:styleId="CommentTextChar">
    <w:name w:val="Comment Text Char"/>
    <w:basedOn w:val="DefaultParagraphFont"/>
    <w:link w:val="CommentText"/>
    <w:uiPriority w:val="99"/>
    <w:rsid w:val="000F4E78"/>
    <w:rPr>
      <w:sz w:val="20"/>
      <w:szCs w:val="20"/>
    </w:rPr>
  </w:style>
  <w:style w:type="paragraph" w:styleId="BalloonText">
    <w:name w:val="Balloon Text"/>
    <w:basedOn w:val="Normal"/>
    <w:link w:val="BalloonTextChar"/>
    <w:uiPriority w:val="99"/>
    <w:semiHidden/>
    <w:unhideWhenUsed/>
    <w:rsid w:val="000F4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E7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0DE1"/>
    <w:rPr>
      <w:b/>
      <w:bCs/>
    </w:rPr>
  </w:style>
  <w:style w:type="character" w:customStyle="1" w:styleId="CommentSubjectChar">
    <w:name w:val="Comment Subject Char"/>
    <w:basedOn w:val="CommentTextChar"/>
    <w:link w:val="CommentSubject"/>
    <w:uiPriority w:val="99"/>
    <w:semiHidden/>
    <w:rsid w:val="00320DE1"/>
    <w:rPr>
      <w:b/>
      <w:bCs/>
      <w:sz w:val="20"/>
      <w:szCs w:val="20"/>
    </w:rPr>
  </w:style>
  <w:style w:type="paragraph" w:styleId="Revision">
    <w:name w:val="Revision"/>
    <w:hidden/>
    <w:uiPriority w:val="99"/>
    <w:semiHidden/>
    <w:rsid w:val="0080745B"/>
    <w:pPr>
      <w:spacing w:after="0" w:line="240" w:lineRule="auto"/>
    </w:pPr>
  </w:style>
  <w:style w:type="character" w:customStyle="1" w:styleId="ListParagraphChar">
    <w:name w:val="List Paragraph Char"/>
    <w:aliases w:val="Recommendation Char,List Paragraph1 Char,List Paragraph11 Char,Tier 1 Bullet Char,Bullet List Char,List Paragraph 1 Char"/>
    <w:link w:val="ListParagraph"/>
    <w:uiPriority w:val="34"/>
    <w:rsid w:val="003A6760"/>
  </w:style>
  <w:style w:type="character" w:styleId="SubtleEmphasis">
    <w:name w:val="Subtle Emphasis"/>
    <w:basedOn w:val="DefaultParagraphFont"/>
    <w:uiPriority w:val="19"/>
    <w:qFormat/>
    <w:rsid w:val="00B43478"/>
    <w:rPr>
      <w:i/>
      <w:iCs/>
      <w:color w:val="404040" w:themeColor="text1" w:themeTint="BF"/>
    </w:rPr>
  </w:style>
  <w:style w:type="paragraph" w:styleId="FootnoteText">
    <w:name w:val="footnote text"/>
    <w:basedOn w:val="Normal"/>
    <w:link w:val="FootnoteTextChar"/>
    <w:uiPriority w:val="99"/>
    <w:semiHidden/>
    <w:unhideWhenUsed/>
    <w:rsid w:val="00DA3C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C97"/>
    <w:rPr>
      <w:sz w:val="20"/>
      <w:szCs w:val="20"/>
    </w:rPr>
  </w:style>
  <w:style w:type="character" w:styleId="FootnoteReference">
    <w:name w:val="footnote reference"/>
    <w:basedOn w:val="DefaultParagraphFont"/>
    <w:uiPriority w:val="99"/>
    <w:semiHidden/>
    <w:unhideWhenUsed/>
    <w:rsid w:val="00DA3C97"/>
    <w:rPr>
      <w:vertAlign w:val="superscript"/>
    </w:rPr>
  </w:style>
  <w:style w:type="character" w:customStyle="1" w:styleId="Heading1Char">
    <w:name w:val="Heading 1 Char"/>
    <w:basedOn w:val="DefaultParagraphFont"/>
    <w:link w:val="Heading1"/>
    <w:uiPriority w:val="9"/>
    <w:rsid w:val="00FB169C"/>
    <w:rPr>
      <w:rFonts w:asciiTheme="majorHAnsi" w:eastAsiaTheme="majorEastAsia" w:hAnsiTheme="majorHAnsi" w:cstheme="majorBidi"/>
      <w:color w:val="004B88"/>
      <w:sz w:val="52"/>
      <w:szCs w:val="52"/>
    </w:rPr>
  </w:style>
  <w:style w:type="character" w:customStyle="1" w:styleId="Heading2Char">
    <w:name w:val="Heading 2 Char"/>
    <w:basedOn w:val="DefaultParagraphFont"/>
    <w:link w:val="Heading2"/>
    <w:uiPriority w:val="9"/>
    <w:rsid w:val="00FB169C"/>
    <w:rPr>
      <w:rFonts w:asciiTheme="majorHAnsi" w:eastAsiaTheme="majorEastAsia" w:hAnsiTheme="majorHAnsi" w:cstheme="majorBidi"/>
      <w:b/>
      <w:color w:val="004B88"/>
      <w:sz w:val="28"/>
      <w:szCs w:val="28"/>
    </w:rPr>
  </w:style>
  <w:style w:type="paragraph" w:styleId="TOCHeading">
    <w:name w:val="TOC Heading"/>
    <w:basedOn w:val="Heading1"/>
    <w:next w:val="Normal"/>
    <w:uiPriority w:val="39"/>
    <w:unhideWhenUsed/>
    <w:qFormat/>
    <w:rsid w:val="00DB62EF"/>
    <w:pPr>
      <w:keepNext/>
      <w:keepLines/>
      <w:spacing w:before="240" w:after="0"/>
      <w:outlineLvl w:val="9"/>
    </w:pPr>
    <w:rPr>
      <w:color w:val="276E8B" w:themeColor="accent1" w:themeShade="BF"/>
      <w:sz w:val="32"/>
      <w:szCs w:val="32"/>
      <w:lang w:val="en-US"/>
    </w:rPr>
  </w:style>
  <w:style w:type="paragraph" w:styleId="TOC1">
    <w:name w:val="toc 1"/>
    <w:basedOn w:val="Normal"/>
    <w:next w:val="Normal"/>
    <w:autoRedefine/>
    <w:uiPriority w:val="39"/>
    <w:unhideWhenUsed/>
    <w:rsid w:val="00DB62EF"/>
    <w:pPr>
      <w:spacing w:after="100"/>
    </w:pPr>
  </w:style>
  <w:style w:type="paragraph" w:styleId="TOC2">
    <w:name w:val="toc 2"/>
    <w:basedOn w:val="Normal"/>
    <w:next w:val="Normal"/>
    <w:autoRedefine/>
    <w:uiPriority w:val="39"/>
    <w:unhideWhenUsed/>
    <w:rsid w:val="00DB62EF"/>
    <w:pPr>
      <w:spacing w:after="100"/>
      <w:ind w:left="220"/>
    </w:pPr>
  </w:style>
  <w:style w:type="paragraph" w:customStyle="1" w:styleId="Default">
    <w:name w:val="Default"/>
    <w:rsid w:val="0085024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C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2"/>
    <w:qFormat/>
    <w:rsid w:val="00064973"/>
    <w:pPr>
      <w:keepNext/>
      <w:spacing w:after="120" w:line="240" w:lineRule="auto"/>
    </w:pPr>
    <w:rPr>
      <w:rFonts w:ascii="Calibri" w:hAnsi="Calibri"/>
      <w:b/>
      <w:bCs/>
      <w:sz w:val="24"/>
      <w:szCs w:val="18"/>
    </w:rPr>
  </w:style>
  <w:style w:type="paragraph" w:styleId="ListBullet">
    <w:name w:val="List Bullet"/>
    <w:basedOn w:val="Normal"/>
    <w:uiPriority w:val="99"/>
    <w:qFormat/>
    <w:rsid w:val="00064973"/>
    <w:pPr>
      <w:numPr>
        <w:numId w:val="2"/>
      </w:numPr>
      <w:spacing w:before="120" w:after="120" w:line="276" w:lineRule="auto"/>
    </w:pPr>
    <w:rPr>
      <w:rFonts w:ascii="Cambria" w:hAnsi="Cambria"/>
    </w:rPr>
  </w:style>
  <w:style w:type="paragraph" w:styleId="ListBullet2">
    <w:name w:val="List Bullet 2"/>
    <w:basedOn w:val="Normal"/>
    <w:uiPriority w:val="8"/>
    <w:qFormat/>
    <w:rsid w:val="00064973"/>
    <w:pPr>
      <w:numPr>
        <w:ilvl w:val="1"/>
        <w:numId w:val="2"/>
      </w:numPr>
      <w:spacing w:before="120" w:after="120" w:line="276" w:lineRule="auto"/>
      <w:contextualSpacing/>
    </w:pPr>
    <w:rPr>
      <w:rFonts w:ascii="Cambria" w:hAnsi="Cambria"/>
    </w:rPr>
  </w:style>
  <w:style w:type="paragraph" w:styleId="ListNumber">
    <w:name w:val="List Number"/>
    <w:basedOn w:val="Normal"/>
    <w:uiPriority w:val="9"/>
    <w:qFormat/>
    <w:rsid w:val="00064973"/>
    <w:pPr>
      <w:numPr>
        <w:numId w:val="5"/>
      </w:numPr>
      <w:tabs>
        <w:tab w:val="left" w:pos="142"/>
      </w:tabs>
      <w:spacing w:before="120" w:after="120" w:line="276" w:lineRule="auto"/>
    </w:pPr>
    <w:rPr>
      <w:rFonts w:ascii="Cambria" w:hAnsi="Cambria"/>
    </w:rPr>
  </w:style>
  <w:style w:type="paragraph" w:styleId="ListNumber2">
    <w:name w:val="List Number 2"/>
    <w:uiPriority w:val="10"/>
    <w:qFormat/>
    <w:rsid w:val="00064973"/>
    <w:pPr>
      <w:numPr>
        <w:ilvl w:val="1"/>
        <w:numId w:val="5"/>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064973"/>
    <w:pPr>
      <w:numPr>
        <w:ilvl w:val="2"/>
        <w:numId w:val="5"/>
      </w:numPr>
      <w:spacing w:before="120" w:after="120" w:line="264" w:lineRule="auto"/>
    </w:pPr>
    <w:rPr>
      <w:rFonts w:ascii="Cambria" w:eastAsia="Times New Roman" w:hAnsi="Cambria" w:cs="Times New Roman"/>
      <w:szCs w:val="24"/>
    </w:rPr>
  </w:style>
  <w:style w:type="paragraph" w:customStyle="1" w:styleId="TableText">
    <w:name w:val="Table Text"/>
    <w:basedOn w:val="Normal"/>
    <w:uiPriority w:val="13"/>
    <w:qFormat/>
    <w:rsid w:val="00064973"/>
    <w:pPr>
      <w:spacing w:before="60" w:after="60" w:line="240" w:lineRule="auto"/>
    </w:pPr>
    <w:rPr>
      <w:rFonts w:ascii="Cambria" w:hAnsi="Cambria"/>
      <w:sz w:val="18"/>
    </w:rPr>
  </w:style>
  <w:style w:type="paragraph" w:customStyle="1" w:styleId="TableHeading">
    <w:name w:val="Table Heading"/>
    <w:basedOn w:val="TableText"/>
    <w:uiPriority w:val="14"/>
    <w:qFormat/>
    <w:rsid w:val="00064973"/>
    <w:pPr>
      <w:keepNext/>
    </w:pPr>
    <w:rPr>
      <w:b/>
    </w:rPr>
  </w:style>
  <w:style w:type="paragraph" w:customStyle="1" w:styleId="TableBullet1">
    <w:name w:val="Table Bullet 1"/>
    <w:basedOn w:val="TableText"/>
    <w:uiPriority w:val="15"/>
    <w:qFormat/>
    <w:rsid w:val="00064973"/>
    <w:pPr>
      <w:numPr>
        <w:numId w:val="1"/>
      </w:numPr>
    </w:pPr>
  </w:style>
  <w:style w:type="numbering" w:customStyle="1" w:styleId="List1">
    <w:name w:val="List1"/>
    <w:basedOn w:val="NoList"/>
    <w:uiPriority w:val="99"/>
    <w:rsid w:val="00064973"/>
    <w:pPr>
      <w:numPr>
        <w:numId w:val="2"/>
      </w:numPr>
    </w:pPr>
  </w:style>
  <w:style w:type="numbering" w:customStyle="1" w:styleId="Numberlist">
    <w:name w:val="Number list"/>
    <w:uiPriority w:val="99"/>
    <w:rsid w:val="00064973"/>
    <w:pPr>
      <w:numPr>
        <w:numId w:val="3"/>
      </w:numPr>
    </w:pPr>
  </w:style>
  <w:style w:type="paragraph" w:styleId="ListBullet3">
    <w:name w:val="List Bullet 3"/>
    <w:basedOn w:val="Normal"/>
    <w:uiPriority w:val="99"/>
    <w:rsid w:val="00064973"/>
    <w:pPr>
      <w:numPr>
        <w:ilvl w:val="2"/>
        <w:numId w:val="2"/>
      </w:numPr>
      <w:spacing w:after="120" w:line="276" w:lineRule="auto"/>
      <w:contextualSpacing/>
    </w:pPr>
    <w:rPr>
      <w:rFonts w:ascii="Cambria" w:hAnsi="Cambria"/>
    </w:rPr>
  </w:style>
  <w:style w:type="paragraph" w:customStyle="1" w:styleId="Tablenumberedlist">
    <w:name w:val="Table numbered list"/>
    <w:uiPriority w:val="99"/>
    <w:qFormat/>
    <w:rsid w:val="00064973"/>
    <w:pPr>
      <w:numPr>
        <w:numId w:val="4"/>
      </w:numPr>
      <w:spacing w:before="60" w:after="60" w:line="240" w:lineRule="auto"/>
      <w:contextualSpacing/>
    </w:pPr>
    <w:rPr>
      <w:rFonts w:ascii="Cambria" w:eastAsia="Calibri" w:hAnsi="Cambria" w:cs="Times New Roman"/>
      <w:color w:val="000000" w:themeColor="text1"/>
      <w:sz w:val="18"/>
    </w:rPr>
  </w:style>
  <w:style w:type="paragraph" w:customStyle="1" w:styleId="CabStandard">
    <w:name w:val="CabStandard"/>
    <w:basedOn w:val="Normal"/>
    <w:rsid w:val="00064973"/>
    <w:pPr>
      <w:numPr>
        <w:numId w:val="7"/>
      </w:numPr>
      <w:spacing w:after="240" w:line="240" w:lineRule="auto"/>
    </w:pPr>
    <w:rPr>
      <w:rFonts w:ascii="Times New Roman" w:eastAsia="Times New Roman" w:hAnsi="Times New Roman" w:cs="Times New Roman"/>
      <w:sz w:val="24"/>
      <w:szCs w:val="20"/>
      <w:lang w:val="en-GB" w:eastAsia="ja-JP"/>
    </w:rPr>
  </w:style>
  <w:style w:type="character" w:styleId="FollowedHyperlink">
    <w:name w:val="FollowedHyperlink"/>
    <w:basedOn w:val="DefaultParagraphFont"/>
    <w:uiPriority w:val="99"/>
    <w:semiHidden/>
    <w:unhideWhenUsed/>
    <w:rsid w:val="00064973"/>
    <w:rPr>
      <w:color w:val="9F6715" w:themeColor="followedHyperlink"/>
      <w:u w:val="single"/>
    </w:rPr>
  </w:style>
  <w:style w:type="character" w:customStyle="1" w:styleId="Heading4Char">
    <w:name w:val="Heading 4 Char"/>
    <w:basedOn w:val="DefaultParagraphFont"/>
    <w:link w:val="Heading4"/>
    <w:uiPriority w:val="9"/>
    <w:semiHidden/>
    <w:rsid w:val="0091092F"/>
    <w:rPr>
      <w:rFonts w:asciiTheme="majorHAnsi" w:eastAsiaTheme="majorEastAsia" w:hAnsiTheme="majorHAnsi" w:cstheme="majorBidi"/>
      <w:i/>
      <w:iCs/>
      <w:color w:val="276E8B"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1758">
      <w:bodyDiv w:val="1"/>
      <w:marLeft w:val="0"/>
      <w:marRight w:val="0"/>
      <w:marTop w:val="0"/>
      <w:marBottom w:val="0"/>
      <w:divBdr>
        <w:top w:val="none" w:sz="0" w:space="0" w:color="auto"/>
        <w:left w:val="none" w:sz="0" w:space="0" w:color="auto"/>
        <w:bottom w:val="none" w:sz="0" w:space="0" w:color="auto"/>
        <w:right w:val="none" w:sz="0" w:space="0" w:color="auto"/>
      </w:divBdr>
    </w:div>
    <w:div w:id="700859679">
      <w:bodyDiv w:val="1"/>
      <w:marLeft w:val="0"/>
      <w:marRight w:val="0"/>
      <w:marTop w:val="0"/>
      <w:marBottom w:val="0"/>
      <w:divBdr>
        <w:top w:val="none" w:sz="0" w:space="0" w:color="auto"/>
        <w:left w:val="none" w:sz="0" w:space="0" w:color="auto"/>
        <w:bottom w:val="none" w:sz="0" w:space="0" w:color="auto"/>
        <w:right w:val="none" w:sz="0" w:space="0" w:color="auto"/>
      </w:divBdr>
    </w:div>
    <w:div w:id="958994838">
      <w:bodyDiv w:val="1"/>
      <w:marLeft w:val="0"/>
      <w:marRight w:val="0"/>
      <w:marTop w:val="0"/>
      <w:marBottom w:val="0"/>
      <w:divBdr>
        <w:top w:val="none" w:sz="0" w:space="0" w:color="auto"/>
        <w:left w:val="none" w:sz="0" w:space="0" w:color="auto"/>
        <w:bottom w:val="none" w:sz="0" w:space="0" w:color="auto"/>
        <w:right w:val="none" w:sz="0" w:space="0" w:color="auto"/>
      </w:divBdr>
    </w:div>
    <w:div w:id="968826817">
      <w:bodyDiv w:val="1"/>
      <w:marLeft w:val="0"/>
      <w:marRight w:val="0"/>
      <w:marTop w:val="0"/>
      <w:marBottom w:val="0"/>
      <w:divBdr>
        <w:top w:val="none" w:sz="0" w:space="0" w:color="auto"/>
        <w:left w:val="none" w:sz="0" w:space="0" w:color="auto"/>
        <w:bottom w:val="none" w:sz="0" w:space="0" w:color="auto"/>
        <w:right w:val="none" w:sz="0" w:space="0" w:color="auto"/>
      </w:divBdr>
    </w:div>
    <w:div w:id="1270695750">
      <w:bodyDiv w:val="1"/>
      <w:marLeft w:val="0"/>
      <w:marRight w:val="0"/>
      <w:marTop w:val="0"/>
      <w:marBottom w:val="0"/>
      <w:divBdr>
        <w:top w:val="none" w:sz="0" w:space="0" w:color="auto"/>
        <w:left w:val="none" w:sz="0" w:space="0" w:color="auto"/>
        <w:bottom w:val="none" w:sz="0" w:space="0" w:color="auto"/>
        <w:right w:val="none" w:sz="0" w:space="0" w:color="auto"/>
      </w:divBdr>
    </w:div>
    <w:div w:id="1356077000">
      <w:bodyDiv w:val="1"/>
      <w:marLeft w:val="0"/>
      <w:marRight w:val="0"/>
      <w:marTop w:val="0"/>
      <w:marBottom w:val="0"/>
      <w:divBdr>
        <w:top w:val="none" w:sz="0" w:space="0" w:color="auto"/>
        <w:left w:val="none" w:sz="0" w:space="0" w:color="auto"/>
        <w:bottom w:val="none" w:sz="0" w:space="0" w:color="auto"/>
        <w:right w:val="none" w:sz="0" w:space="0" w:color="auto"/>
      </w:divBdr>
    </w:div>
    <w:div w:id="1380126568">
      <w:bodyDiv w:val="1"/>
      <w:marLeft w:val="0"/>
      <w:marRight w:val="0"/>
      <w:marTop w:val="0"/>
      <w:marBottom w:val="0"/>
      <w:divBdr>
        <w:top w:val="none" w:sz="0" w:space="0" w:color="auto"/>
        <w:left w:val="none" w:sz="0" w:space="0" w:color="auto"/>
        <w:bottom w:val="none" w:sz="0" w:space="0" w:color="auto"/>
        <w:right w:val="none" w:sz="0" w:space="0" w:color="auto"/>
      </w:divBdr>
    </w:div>
    <w:div w:id="20111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reenindustries.sa.gov.au/resources/sa-waste-strategy-2020-202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reenindustries.sa.gov.au/resources/valuing-our-food-wast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enindustries.sa.gov.au/resources/sa-waste-strategy-2020-2025" TargetMode="External"/><Relationship Id="rId5" Type="http://schemas.openxmlformats.org/officeDocument/2006/relationships/webSettings" Target="webSettings.xml"/><Relationship Id="rId15" Type="http://schemas.openxmlformats.org/officeDocument/2006/relationships/hyperlink" Target="https://www.greenindustries.sa.gov.au/resources/south-australias-waste-and-resource-recovery-infrastructure-plan-2018" TargetMode="External"/><Relationship Id="rId10" Type="http://schemas.openxmlformats.org/officeDocument/2006/relationships/hyperlink" Target="http://www.greenindustries.sa.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reenindustries.sa.gov.au/resources/valuing-our-foo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C749D-DE53-4217-BA9C-EE3F9F45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DEWNR</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Oster</dc:creator>
  <cp:lastModifiedBy>Jessica Wundke</cp:lastModifiedBy>
  <cp:revision>3</cp:revision>
  <cp:lastPrinted>2021-08-11T23:48:00Z</cp:lastPrinted>
  <dcterms:created xsi:type="dcterms:W3CDTF">2021-11-25T05:53:00Z</dcterms:created>
  <dcterms:modified xsi:type="dcterms:W3CDTF">2021-11-25T05:57:00Z</dcterms:modified>
</cp:coreProperties>
</file>